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F4" w:rsidRDefault="00CB5FF4" w:rsidP="00CB5FF4">
      <w:pPr>
        <w:tabs>
          <w:tab w:val="left" w:pos="1560"/>
        </w:tabs>
        <w:ind w:firstLine="1843"/>
        <w:rPr>
          <w:sz w:val="28"/>
          <w:lang w:val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8777B" wp14:editId="42AC5F2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895350" cy="899724"/>
            <wp:effectExtent l="0" t="0" r="0" b="0"/>
            <wp:wrapNone/>
            <wp:docPr id="1" name="Picture 1" descr="LOGO UNIKOMBW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KOMBW 2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lang w:val="nb-NO"/>
        </w:rPr>
        <w:t>PROGRAM STUDI AKUNTANSI</w:t>
      </w:r>
    </w:p>
    <w:p w:rsidR="00CB5FF4" w:rsidRPr="006B5490" w:rsidRDefault="00CB5FF4" w:rsidP="00CB5FF4">
      <w:pPr>
        <w:tabs>
          <w:tab w:val="left" w:pos="1560"/>
        </w:tabs>
        <w:ind w:firstLine="1843"/>
        <w:rPr>
          <w:sz w:val="28"/>
          <w:lang w:val="id-ID"/>
        </w:rPr>
      </w:pPr>
      <w:r>
        <w:rPr>
          <w:sz w:val="28"/>
          <w:lang w:val="nb-NO"/>
        </w:rPr>
        <w:t>FAKULTAS EKONOMI</w:t>
      </w:r>
      <w:r>
        <w:rPr>
          <w:sz w:val="28"/>
          <w:lang w:val="id-ID"/>
        </w:rPr>
        <w:t xml:space="preserve">  DAN BISNIS</w:t>
      </w:r>
    </w:p>
    <w:p w:rsidR="00CB5FF4" w:rsidRDefault="00CB5FF4" w:rsidP="00CB5FF4">
      <w:pPr>
        <w:pStyle w:val="Heading1"/>
        <w:rPr>
          <w:sz w:val="32"/>
          <w:lang w:val="nb-NO"/>
        </w:rPr>
      </w:pPr>
      <w:r>
        <w:rPr>
          <w:lang w:val="nb-NO"/>
        </w:rPr>
        <w:tab/>
        <w:t>UNIVERSITAS KOMPUTER INDONESIA</w:t>
      </w:r>
    </w:p>
    <w:p w:rsidR="00CB5FF4" w:rsidRDefault="00CB5FF4" w:rsidP="00CB5FF4">
      <w:pPr>
        <w:tabs>
          <w:tab w:val="left" w:pos="1412"/>
        </w:tabs>
        <w:ind w:firstLine="1843"/>
        <w:rPr>
          <w:lang w:val="nb-NO"/>
        </w:rPr>
      </w:pPr>
      <w:r>
        <w:rPr>
          <w:lang w:val="nb-NO"/>
        </w:rPr>
        <w:t xml:space="preserve">Kampus </w:t>
      </w:r>
      <w:r>
        <w:rPr>
          <w:lang w:val="id-ID"/>
        </w:rPr>
        <w:t>Baru</w:t>
      </w:r>
      <w:r>
        <w:rPr>
          <w:lang w:val="nb-NO"/>
        </w:rPr>
        <w:t xml:space="preserve">. Lt. 10 Jl. Dipati Ukur </w:t>
      </w:r>
      <w:r>
        <w:rPr>
          <w:lang w:val="id-ID"/>
        </w:rPr>
        <w:t>110-</w:t>
      </w:r>
      <w:r>
        <w:rPr>
          <w:lang w:val="nb-NO"/>
        </w:rPr>
        <w:t xml:space="preserve">112 Telp. 2533754 Bandung </w:t>
      </w:r>
    </w:p>
    <w:p w:rsidR="00CB5FF4" w:rsidRDefault="00CB5FF4" w:rsidP="00CB5FF4">
      <w:pPr>
        <w:tabs>
          <w:tab w:val="left" w:pos="1412"/>
        </w:tabs>
        <w:ind w:firstLine="1843"/>
        <w:rPr>
          <w:lang w:val="nb-NO"/>
        </w:rPr>
      </w:pPr>
    </w:p>
    <w:p w:rsidR="00CB5FF4" w:rsidRDefault="00CB5FF4" w:rsidP="00CB5FF4">
      <w:pPr>
        <w:tabs>
          <w:tab w:val="left" w:pos="1412"/>
        </w:tabs>
        <w:rPr>
          <w:lang w:val="nb-NO"/>
        </w:rPr>
      </w:pPr>
    </w:p>
    <w:p w:rsidR="00CB5FF4" w:rsidRDefault="00CB5FF4" w:rsidP="00CB5FF4">
      <w:pPr>
        <w:jc w:val="center"/>
        <w:rPr>
          <w:rFonts w:ascii="Arial" w:hAnsi="Arial"/>
          <w:b/>
          <w:lang w:val="nb-NO"/>
        </w:rPr>
      </w:pPr>
      <w:r>
        <w:rPr>
          <w:rFonts w:ascii="Arial" w:hAnsi="Arial"/>
          <w:b/>
          <w:lang w:val="nb-NO"/>
        </w:rPr>
        <w:t xml:space="preserve">UJIAN </w:t>
      </w:r>
      <w:r>
        <w:rPr>
          <w:rFonts w:ascii="Arial" w:hAnsi="Arial"/>
          <w:b/>
          <w:lang w:val="id-ID"/>
        </w:rPr>
        <w:t xml:space="preserve">TENGAH </w:t>
      </w:r>
      <w:r>
        <w:rPr>
          <w:rFonts w:ascii="Arial" w:hAnsi="Arial"/>
          <w:b/>
          <w:lang w:val="nb-NO"/>
        </w:rPr>
        <w:t xml:space="preserve"> SEMESTER</w:t>
      </w:r>
    </w:p>
    <w:p w:rsidR="00CB5FF4" w:rsidRPr="009E5B7D" w:rsidRDefault="00CB5FF4" w:rsidP="00CB5FF4">
      <w:pPr>
        <w:jc w:val="center"/>
        <w:rPr>
          <w:rFonts w:ascii="Arial" w:hAnsi="Arial"/>
          <w:b/>
          <w:lang w:val="id-ID"/>
        </w:rPr>
      </w:pPr>
      <w:r>
        <w:rPr>
          <w:rFonts w:ascii="Arial" w:hAnsi="Arial"/>
          <w:b/>
          <w:lang w:val="id-ID"/>
        </w:rPr>
        <w:t>SEMESTER GENAP TAHUN AKADEMIK 2019/2020</w:t>
      </w:r>
    </w:p>
    <w:p w:rsidR="00CB5FF4" w:rsidRDefault="00CB5FF4" w:rsidP="00CB5FF4">
      <w:pPr>
        <w:jc w:val="center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:rsidR="00CB5FF4" w:rsidRDefault="00CB5FF4" w:rsidP="00CB5FF4">
      <w:pPr>
        <w:tabs>
          <w:tab w:val="left" w:pos="1560"/>
          <w:tab w:val="left" w:pos="5103"/>
        </w:tabs>
        <w:ind w:right="-561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Mata Kuliah</w:t>
      </w:r>
      <w:r>
        <w:rPr>
          <w:sz w:val="22"/>
          <w:szCs w:val="22"/>
          <w:lang w:val="nb-NO"/>
        </w:rPr>
        <w:tab/>
        <w:t xml:space="preserve">: </w:t>
      </w:r>
      <w:proofErr w:type="spellStart"/>
      <w:r>
        <w:rPr>
          <w:sz w:val="22"/>
          <w:szCs w:val="22"/>
        </w:rPr>
        <w:t>Akuntansi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Sektor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Publik</w:t>
      </w:r>
      <w:proofErr w:type="spellEnd"/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nb-NO"/>
        </w:rPr>
        <w:t xml:space="preserve">Hari/Tgl. </w:t>
      </w:r>
      <w:r>
        <w:rPr>
          <w:sz w:val="22"/>
          <w:szCs w:val="22"/>
          <w:lang w:val="nb-NO"/>
        </w:rPr>
        <w:tab/>
        <w:t xml:space="preserve">: </w:t>
      </w:r>
      <w:proofErr w:type="spellStart"/>
      <w:r>
        <w:rPr>
          <w:sz w:val="22"/>
          <w:szCs w:val="22"/>
        </w:rPr>
        <w:t>Rabu</w:t>
      </w:r>
      <w:proofErr w:type="spellEnd"/>
      <w:r>
        <w:rPr>
          <w:sz w:val="22"/>
          <w:szCs w:val="22"/>
        </w:rPr>
        <w:t>, 6 Mei 2020</w:t>
      </w:r>
      <w:r>
        <w:rPr>
          <w:sz w:val="22"/>
          <w:szCs w:val="22"/>
          <w:lang w:val="nb-NO"/>
        </w:rPr>
        <w:t>.</w:t>
      </w:r>
    </w:p>
    <w:p w:rsidR="00CB5FF4" w:rsidRPr="00712526" w:rsidRDefault="00CB5FF4" w:rsidP="00CB5FF4">
      <w:pPr>
        <w:tabs>
          <w:tab w:val="left" w:pos="1560"/>
          <w:tab w:val="left" w:pos="1608"/>
          <w:tab w:val="left" w:pos="5103"/>
          <w:tab w:val="left" w:pos="5245"/>
          <w:tab w:val="left" w:pos="6096"/>
          <w:tab w:val="left" w:pos="6379"/>
          <w:tab w:val="left" w:pos="7088"/>
        </w:tabs>
        <w:rPr>
          <w:sz w:val="22"/>
          <w:szCs w:val="22"/>
        </w:rPr>
      </w:pPr>
      <w:r>
        <w:rPr>
          <w:sz w:val="22"/>
          <w:szCs w:val="22"/>
          <w:lang w:val="nb-NO"/>
        </w:rPr>
        <w:t>Waktu</w:t>
      </w:r>
      <w:r>
        <w:rPr>
          <w:sz w:val="22"/>
          <w:szCs w:val="22"/>
          <w:lang w:val="nb-NO"/>
        </w:rPr>
        <w:tab/>
        <w:t>: 90 MENIT</w:t>
      </w:r>
      <w:r>
        <w:rPr>
          <w:sz w:val="22"/>
          <w:szCs w:val="22"/>
          <w:lang w:val="nb-NO"/>
        </w:rPr>
        <w:tab/>
        <w:t xml:space="preserve">   </w:t>
      </w:r>
      <w:r>
        <w:rPr>
          <w:sz w:val="22"/>
          <w:szCs w:val="22"/>
          <w:lang w:val="id-ID"/>
        </w:rPr>
        <w:t xml:space="preserve">         </w:t>
      </w:r>
      <w:r>
        <w:rPr>
          <w:sz w:val="22"/>
          <w:szCs w:val="22"/>
          <w:lang w:val="nb-NO"/>
        </w:rPr>
        <w:t xml:space="preserve">Ruang/Kelas </w:t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nb-NO"/>
        </w:rPr>
        <w:t xml:space="preserve"> : </w:t>
      </w:r>
      <w:r>
        <w:rPr>
          <w:sz w:val="22"/>
          <w:szCs w:val="22"/>
        </w:rPr>
        <w:t>online</w:t>
      </w:r>
      <w:r>
        <w:rPr>
          <w:sz w:val="22"/>
          <w:szCs w:val="22"/>
          <w:lang w:val="id-ID"/>
        </w:rPr>
        <w:t>/</w:t>
      </w:r>
      <w:r>
        <w:rPr>
          <w:sz w:val="22"/>
          <w:szCs w:val="22"/>
        </w:rPr>
        <w:t>AK-1</w:t>
      </w:r>
      <w:r>
        <w:rPr>
          <w:sz w:val="22"/>
          <w:szCs w:val="22"/>
          <w:lang w:val="id-ID"/>
        </w:rPr>
        <w:t>/</w:t>
      </w:r>
      <w:r>
        <w:rPr>
          <w:sz w:val="22"/>
          <w:szCs w:val="22"/>
        </w:rPr>
        <w:t>S1/IV</w:t>
      </w:r>
    </w:p>
    <w:p w:rsidR="00CB5FF4" w:rsidRDefault="00CB5FF4" w:rsidP="00CB5FF4">
      <w:pPr>
        <w:tabs>
          <w:tab w:val="left" w:pos="1560"/>
          <w:tab w:val="left" w:pos="1608"/>
          <w:tab w:val="left" w:pos="5103"/>
          <w:tab w:val="left" w:pos="5245"/>
          <w:tab w:val="left" w:pos="6096"/>
          <w:tab w:val="left" w:pos="6379"/>
          <w:tab w:val="left" w:pos="7088"/>
        </w:tabs>
        <w:rPr>
          <w:sz w:val="22"/>
          <w:szCs w:val="22"/>
          <w:lang w:val="nb-NO"/>
        </w:rPr>
      </w:pPr>
      <w:r>
        <w:rPr>
          <w:sz w:val="22"/>
          <w:szCs w:val="22"/>
          <w:lang w:val="id-ID"/>
        </w:rPr>
        <w:t>D</w:t>
      </w:r>
      <w:r>
        <w:rPr>
          <w:sz w:val="22"/>
          <w:szCs w:val="22"/>
          <w:lang w:val="nb-NO"/>
        </w:rPr>
        <w:t>osen</w:t>
      </w:r>
      <w:r>
        <w:rPr>
          <w:sz w:val="22"/>
          <w:szCs w:val="22"/>
          <w:lang w:val="nb-NO"/>
        </w:rPr>
        <w:tab/>
        <w:t>: Dr.Ony Widilestariningtyas,Ak.</w:t>
      </w:r>
      <w:r>
        <w:rPr>
          <w:sz w:val="22"/>
          <w:szCs w:val="22"/>
          <w:lang w:val="id-ID"/>
        </w:rPr>
        <w:t xml:space="preserve">CA.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       </w:t>
      </w:r>
      <w:r>
        <w:rPr>
          <w:sz w:val="22"/>
          <w:szCs w:val="22"/>
          <w:lang w:val="nb-NO"/>
        </w:rPr>
        <w:t xml:space="preserve">Sifat </w:t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ab/>
        <w:t xml:space="preserve">: </w:t>
      </w:r>
      <w:r>
        <w:rPr>
          <w:sz w:val="22"/>
          <w:szCs w:val="22"/>
          <w:lang w:val="id-ID"/>
        </w:rPr>
        <w:t>Open</w:t>
      </w:r>
      <w:r>
        <w:rPr>
          <w:sz w:val="22"/>
          <w:szCs w:val="22"/>
          <w:lang w:val="nb-NO"/>
        </w:rPr>
        <w:t xml:space="preserve"> Book</w:t>
      </w:r>
    </w:p>
    <w:p w:rsidR="00CB5FF4" w:rsidRDefault="00CB5FF4" w:rsidP="00CB5FF4">
      <w:pPr>
        <w:pBdr>
          <w:bottom w:val="double" w:sz="6" w:space="1" w:color="auto"/>
        </w:pBdr>
        <w:tabs>
          <w:tab w:val="left" w:pos="4962"/>
          <w:tab w:val="left" w:pos="5529"/>
        </w:tabs>
        <w:rPr>
          <w:lang w:val="nb-NO"/>
        </w:rPr>
      </w:pPr>
    </w:p>
    <w:p w:rsidR="00CB5FF4" w:rsidRDefault="00CB5FF4" w:rsidP="00CB5FF4">
      <w:pPr>
        <w:rPr>
          <w:rFonts w:eastAsia="SimSun"/>
          <w:lang w:val="nb-NO"/>
        </w:rPr>
      </w:pPr>
      <w:r>
        <w:rPr>
          <w:b/>
          <w:bCs/>
          <w:sz w:val="22"/>
          <w:szCs w:val="22"/>
          <w:lang w:val="nb-NO"/>
        </w:rPr>
        <w:t>Petunjuk</w:t>
      </w:r>
      <w:r>
        <w:rPr>
          <w:sz w:val="22"/>
          <w:szCs w:val="22"/>
          <w:lang w:val="nb-NO"/>
        </w:rPr>
        <w:t xml:space="preserve"> : </w:t>
      </w:r>
      <w:r>
        <w:rPr>
          <w:sz w:val="22"/>
          <w:szCs w:val="22"/>
          <w:lang w:val="nb-NO"/>
        </w:rPr>
        <w:tab/>
      </w:r>
      <w:r>
        <w:rPr>
          <w:rFonts w:eastAsia="SimSun"/>
          <w:lang w:val="nb-NO"/>
        </w:rPr>
        <w:t xml:space="preserve">1. Kerjakan soal dengan </w:t>
      </w:r>
      <w:r>
        <w:rPr>
          <w:rFonts w:eastAsia="SimSun"/>
          <w:lang w:val="id-ID"/>
        </w:rPr>
        <w:t>baik dan jujur</w:t>
      </w:r>
      <w:r>
        <w:rPr>
          <w:rFonts w:eastAsia="SimSun"/>
          <w:lang w:val="nb-NO"/>
        </w:rPr>
        <w:t>.</w:t>
      </w:r>
      <w:r>
        <w:rPr>
          <w:rFonts w:eastAsia="SimSun"/>
          <w:lang w:val="nb-NO"/>
        </w:rPr>
        <w:br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>2. Kumpulkan melalui kuliah online.</w:t>
      </w:r>
      <w:r>
        <w:rPr>
          <w:rFonts w:eastAsia="SimSun"/>
          <w:lang w:val="nb-NO"/>
        </w:rPr>
        <w:br/>
      </w:r>
      <w:r>
        <w:rPr>
          <w:rFonts w:eastAsia="SimSun"/>
          <w:lang w:val="nb-NO"/>
        </w:rPr>
        <w:tab/>
      </w:r>
    </w:p>
    <w:p w:rsidR="00CB5FF4" w:rsidRDefault="00CB5FF4" w:rsidP="00CB5FF4">
      <w:pPr>
        <w:rPr>
          <w:rFonts w:eastAsia="SimSun"/>
          <w:lang w:val="nb-NO"/>
        </w:rPr>
      </w:pPr>
    </w:p>
    <w:p w:rsidR="00CB5FF4" w:rsidRDefault="00CB5FF4" w:rsidP="00CB5FF4">
      <w:pPr>
        <w:rPr>
          <w:sz w:val="22"/>
          <w:szCs w:val="22"/>
          <w:lang w:val="nb-NO"/>
        </w:rPr>
      </w:pPr>
      <w:r>
        <w:rPr>
          <w:rFonts w:eastAsia="SimSun"/>
          <w:lang w:val="nb-NO"/>
        </w:rPr>
        <w:tab/>
      </w:r>
      <w:r>
        <w:rPr>
          <w:sz w:val="22"/>
          <w:szCs w:val="22"/>
          <w:lang w:val="nb-NO"/>
        </w:rPr>
        <w:br/>
      </w:r>
    </w:p>
    <w:p w:rsidR="00CB5FF4" w:rsidRDefault="00CB5FF4" w:rsidP="00CB5FF4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I. MULTIPLE CHOICE  (KULIAH ONLINE)</w:t>
      </w:r>
    </w:p>
    <w:p w:rsidR="00CB5FF4" w:rsidRDefault="00CB5FF4" w:rsidP="00CB5FF4">
      <w:pPr>
        <w:rPr>
          <w:sz w:val="22"/>
          <w:szCs w:val="22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460"/>
      </w:tblGrid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Kekuatan sosial masyarakat, yang umumnya berbentuk pemerintahan – organisasi sektor publik ini, dapat diklasifikasi dalam ......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Jawaban b,c,d benar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Semangat kapitalisasi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Peristiwa politik dan ekonomi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Inovasi teknologi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Jawaban b,c,d salah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A3232A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Akuntansi sektor publik dapat didefinisikan sebagai ....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Mekanisme teknik dan analisis akuntansi yang diterapkan pada pengelolaan dana masyarakat di lembaga-lembaga tinggi negara dan departemen, pemerintah daerah.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Mekanisme teknik dan analisis akuntansi yang diterapkan pada pengelolaan dana masyarakat di lembaga-lembaga tinggi negara dan departemen-departemen di bawahnya, pemerintah daerah, BUMN, BUMD, LSM dan yayasan sosial, maupun pada proyek-proyek kerjasama sektor publik dan swa</w:t>
            </w:r>
            <w:r w:rsidR="0037500F">
              <w:rPr>
                <w:sz w:val="22"/>
                <w:szCs w:val="22"/>
                <w:lang w:val="nb-NO"/>
              </w:rPr>
              <w:t>s</w:t>
            </w:r>
            <w:bookmarkStart w:id="0" w:name="_GoBack"/>
            <w:bookmarkEnd w:id="0"/>
            <w:r>
              <w:rPr>
                <w:sz w:val="22"/>
                <w:szCs w:val="22"/>
                <w:lang w:val="nb-NO"/>
              </w:rPr>
              <w:t>ta.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Mekanisme teknik dan analisis akuntansi yang diterapkan pada pengelolaan dana masyarakat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Mekanisme teknik dan analisis akuntansi yang diterapkan pada pengelolaan dana masyarakat di pemerintah daerah, BUMN, BUMD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Mekanisme teknik dan analisis akuntansi yang diterapkan pada pemerintah daerah, BUMN, BUMD, LSM dan yayasan sosial, maupun pada proyek-proyek kerjasama sektor publik dan swa</w:t>
            </w:r>
            <w:r w:rsidR="0037500F">
              <w:rPr>
                <w:sz w:val="22"/>
                <w:szCs w:val="22"/>
                <w:lang w:val="nb-NO"/>
              </w:rPr>
              <w:t>s</w:t>
            </w:r>
            <w:r>
              <w:rPr>
                <w:sz w:val="22"/>
                <w:szCs w:val="22"/>
                <w:lang w:val="nb-NO"/>
              </w:rPr>
              <w:t>ta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Peran fundamental akuntansi manajemen di organisasi sektor publik adalah...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Secara rinci tujuan umum dapat diturunkan menjadi membantu manajemen memformulasi kebijakan organisasi.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Secara rinci tujuan umum dapat diturunkan menjadi membantu manajemen dalam proses perencanaan organisasi.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Membantu manajer / pimpinan dengan informasi akuntansi yang dibutuhkan agar fungsi perencanaan dan pengendalian dapat dilakukan.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Secara rinci tujuan umum dapat diturunkan menjadi membantu manajemen dalam mengendalikan operasi.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Secara rinci tujuan umum dapat diturunkan menjadi membantu manajemen dalam mengendalikan kegiatan organisasi.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Akuntansi manajemen disusun menurut pondasi , yaitu 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Organisasi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Perilaku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Akuntansi dan psikologi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Jawaban a,b,c benar.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Jawaban a,b,c salah.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Tujuan pengendalian internal adalah...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Untuk melindungi harta / aktiva organisasi dan pencatatan pembukuannya.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Mengecek kecermatan dan keandalan data akuntansi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Meningkatkan efisiensi usaha.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Mendorong ditaatinya kebijakan manajemen yang telah ditetapkan.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Semua jawaban benar.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Kriteria untuk mengukur kualitas pengendalian manajemen dibawah ini benar, kecuali...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Sistem tunggal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Sistem yang total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Keselarasan tujuan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Kerangka pengelolaan keuangan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Ritme dan integrasi.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Jenis sistem penganggaran yang diterima umum dibawah ini benar, kecuali...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Line item budgeting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Item budgeting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Incremental budgeting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Zero base budgeting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Performance budgeting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Anggaran sebagai instrumen kebijakan ekonomi, dapat diinterpretasi sebagai...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Arah program ekonomi dalam eksplorasi sumber daya.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Menciptakan keseimbangan makro ekonomi.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Semua jawaban benar.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Distribusi sumber daya secara merata.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Anggaran harus diorganisasi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Teori unit pelaporan dalam penerapan laporan keuangan di sektor publik dapat dikemukan, yaitu 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Teori kemepilikan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Teori kesatuan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Teori pendanaan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Semua jawaban benar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Teori pemerintahan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Default="00CB5FF4" w:rsidP="006944F8">
            <w:p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Karakteristik kualitatif laporan keuangan dibawah ini benar, kecuali...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Dapat dipahami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Relevan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Keandalan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Dapat diperbandingkan</w:t>
            </w:r>
          </w:p>
        </w:tc>
      </w:tr>
      <w:tr w:rsidR="00CB5FF4" w:rsidTr="006944F8">
        <w:tc>
          <w:tcPr>
            <w:tcW w:w="535" w:type="dxa"/>
          </w:tcPr>
          <w:p w:rsidR="00CB5FF4" w:rsidRPr="000D602F" w:rsidRDefault="00CB5FF4" w:rsidP="006944F8">
            <w:pPr>
              <w:pStyle w:val="ListParagraph"/>
              <w:ind w:left="360"/>
              <w:jc w:val="both"/>
              <w:rPr>
                <w:sz w:val="22"/>
                <w:szCs w:val="22"/>
                <w:lang w:val="nb-NO"/>
              </w:rPr>
            </w:pPr>
          </w:p>
        </w:tc>
        <w:tc>
          <w:tcPr>
            <w:tcW w:w="8460" w:type="dxa"/>
          </w:tcPr>
          <w:p w:rsidR="00CB5FF4" w:rsidRPr="000D602F" w:rsidRDefault="00CB5FF4" w:rsidP="006944F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Transaksi </w:t>
            </w:r>
          </w:p>
        </w:tc>
      </w:tr>
    </w:tbl>
    <w:p w:rsidR="00CB5FF4" w:rsidRDefault="00CB5FF4" w:rsidP="00CB5FF4">
      <w:pPr>
        <w:rPr>
          <w:sz w:val="22"/>
          <w:szCs w:val="22"/>
          <w:lang w:val="nb-NO"/>
        </w:rPr>
      </w:pPr>
    </w:p>
    <w:p w:rsidR="00CB5FF4" w:rsidRPr="000D602F" w:rsidRDefault="00CB5FF4" w:rsidP="00CB5FF4">
      <w:pPr>
        <w:rPr>
          <w:lang w:val="nb-NO"/>
        </w:rPr>
      </w:pPr>
      <w:r w:rsidRPr="000D602F">
        <w:rPr>
          <w:lang w:val="nb-NO"/>
        </w:rPr>
        <w:t>II. ESSAI (KULIAH ONLINE)</w:t>
      </w:r>
    </w:p>
    <w:p w:rsidR="00CB5FF4" w:rsidRPr="000D602F" w:rsidRDefault="00CB5FF4" w:rsidP="00CB5FF4">
      <w:pPr>
        <w:jc w:val="both"/>
        <w:rPr>
          <w:lang w:val="nb-NO"/>
        </w:rPr>
      </w:pPr>
    </w:p>
    <w:p w:rsidR="00A718A2" w:rsidRPr="00CB5FF4" w:rsidRDefault="00CB5FF4" w:rsidP="00CB5FF4">
      <w:pPr>
        <w:pStyle w:val="ListParagraph"/>
        <w:numPr>
          <w:ilvl w:val="0"/>
          <w:numId w:val="12"/>
        </w:numPr>
      </w:pPr>
      <w:proofErr w:type="spellStart"/>
      <w:r w:rsidRPr="00CB5FF4">
        <w:t>Jelaskan</w:t>
      </w:r>
      <w:proofErr w:type="spellEnd"/>
      <w:r w:rsidRPr="00CB5FF4">
        <w:t xml:space="preserve"> </w:t>
      </w:r>
      <w:proofErr w:type="spellStart"/>
      <w:r w:rsidRPr="00CB5FF4">
        <w:t>perkembangan</w:t>
      </w:r>
      <w:proofErr w:type="spellEnd"/>
      <w:r w:rsidRPr="00CB5FF4">
        <w:t xml:space="preserve"> </w:t>
      </w:r>
      <w:proofErr w:type="spellStart"/>
      <w:r w:rsidRPr="00CB5FF4">
        <w:t>profesi</w:t>
      </w:r>
      <w:proofErr w:type="spellEnd"/>
      <w:r w:rsidRPr="00CB5FF4">
        <w:t xml:space="preserve"> </w:t>
      </w:r>
      <w:proofErr w:type="spellStart"/>
      <w:r w:rsidRPr="00CB5FF4">
        <w:t>akuntan</w:t>
      </w:r>
      <w:proofErr w:type="spellEnd"/>
      <w:r w:rsidRPr="00CB5FF4">
        <w:t xml:space="preserve"> </w:t>
      </w:r>
      <w:proofErr w:type="spellStart"/>
      <w:r w:rsidRPr="00CB5FF4">
        <w:t>sektor</w:t>
      </w:r>
      <w:proofErr w:type="spellEnd"/>
      <w:r w:rsidRPr="00CB5FF4">
        <w:t xml:space="preserve"> </w:t>
      </w:r>
      <w:proofErr w:type="spellStart"/>
      <w:r w:rsidRPr="00CB5FF4">
        <w:t>publik</w:t>
      </w:r>
      <w:proofErr w:type="spellEnd"/>
      <w:r w:rsidRPr="00CB5FF4">
        <w:t xml:space="preserve"> di </w:t>
      </w:r>
      <w:proofErr w:type="gramStart"/>
      <w:r w:rsidRPr="00CB5FF4">
        <w:t>Indonesia ?</w:t>
      </w:r>
      <w:proofErr w:type="gramEnd"/>
    </w:p>
    <w:p w:rsidR="00A718A2" w:rsidRPr="00CB5FF4" w:rsidRDefault="00CB5FF4" w:rsidP="00CB5FF4">
      <w:pPr>
        <w:pStyle w:val="ListParagraph"/>
        <w:numPr>
          <w:ilvl w:val="0"/>
          <w:numId w:val="12"/>
        </w:numPr>
      </w:pPr>
      <w:proofErr w:type="spellStart"/>
      <w:r w:rsidRPr="00CB5FF4">
        <w:t>Jelaskan</w:t>
      </w:r>
      <w:proofErr w:type="spellEnd"/>
      <w:r w:rsidRPr="00CB5FF4">
        <w:t xml:space="preserve"> </w:t>
      </w:r>
      <w:proofErr w:type="spellStart"/>
      <w:r w:rsidRPr="00CB5FF4">
        <w:t>penerapan</w:t>
      </w:r>
      <w:proofErr w:type="spellEnd"/>
      <w:r w:rsidRPr="00CB5FF4">
        <w:t xml:space="preserve"> </w:t>
      </w:r>
      <w:proofErr w:type="spellStart"/>
      <w:r w:rsidRPr="00CB5FF4">
        <w:t>akuntansi</w:t>
      </w:r>
      <w:proofErr w:type="spellEnd"/>
      <w:r w:rsidRPr="00CB5FF4">
        <w:t xml:space="preserve"> </w:t>
      </w:r>
      <w:proofErr w:type="spellStart"/>
      <w:r w:rsidRPr="00CB5FF4">
        <w:t>manajemen</w:t>
      </w:r>
      <w:proofErr w:type="spellEnd"/>
      <w:r w:rsidRPr="00CB5FF4">
        <w:t xml:space="preserve"> </w:t>
      </w:r>
      <w:proofErr w:type="spellStart"/>
      <w:r w:rsidRPr="00CB5FF4">
        <w:t>ditentukan</w:t>
      </w:r>
      <w:proofErr w:type="spellEnd"/>
      <w:r w:rsidRPr="00CB5FF4">
        <w:t xml:space="preserve"> </w:t>
      </w:r>
      <w:proofErr w:type="spellStart"/>
      <w:r w:rsidRPr="00CB5FF4">
        <w:t>oleh</w:t>
      </w:r>
      <w:proofErr w:type="spellEnd"/>
      <w:r w:rsidRPr="00CB5FF4">
        <w:t xml:space="preserve"> </w:t>
      </w:r>
      <w:proofErr w:type="spellStart"/>
      <w:r w:rsidRPr="00CB5FF4">
        <w:t>konsep</w:t>
      </w:r>
      <w:proofErr w:type="spellEnd"/>
      <w:r w:rsidRPr="00CB5FF4">
        <w:t xml:space="preserve"> </w:t>
      </w:r>
      <w:proofErr w:type="spellStart"/>
      <w:proofErr w:type="gramStart"/>
      <w:r w:rsidRPr="00CB5FF4">
        <w:t>relevan</w:t>
      </w:r>
      <w:proofErr w:type="spellEnd"/>
      <w:r w:rsidRPr="00CB5FF4">
        <w:t xml:space="preserve"> ?</w:t>
      </w:r>
      <w:proofErr w:type="gramEnd"/>
    </w:p>
    <w:p w:rsidR="00A718A2" w:rsidRPr="00CB5FF4" w:rsidRDefault="00CB5FF4" w:rsidP="00CB5FF4">
      <w:pPr>
        <w:pStyle w:val="ListParagraph"/>
        <w:numPr>
          <w:ilvl w:val="0"/>
          <w:numId w:val="12"/>
        </w:numPr>
      </w:pPr>
      <w:proofErr w:type="spellStart"/>
      <w:r w:rsidRPr="00CB5FF4">
        <w:t>Jelaskan</w:t>
      </w:r>
      <w:proofErr w:type="spellEnd"/>
      <w:r w:rsidRPr="00CB5FF4">
        <w:t xml:space="preserve"> </w:t>
      </w:r>
      <w:proofErr w:type="spellStart"/>
      <w:proofErr w:type="gramStart"/>
      <w:r w:rsidRPr="00CB5FF4">
        <w:t>kontroversi</w:t>
      </w:r>
      <w:proofErr w:type="spellEnd"/>
      <w:r w:rsidRPr="00CB5FF4">
        <w:t xml:space="preserve">  </w:t>
      </w:r>
      <w:proofErr w:type="spellStart"/>
      <w:r w:rsidRPr="00CB5FF4">
        <w:t>perencanaan</w:t>
      </w:r>
      <w:proofErr w:type="spellEnd"/>
      <w:proofErr w:type="gramEnd"/>
      <w:r w:rsidRPr="00CB5FF4">
        <w:t xml:space="preserve"> vs </w:t>
      </w:r>
      <w:proofErr w:type="spellStart"/>
      <w:r w:rsidRPr="00CB5FF4">
        <w:t>pengendalian</w:t>
      </w:r>
      <w:proofErr w:type="spellEnd"/>
      <w:r w:rsidRPr="00CB5FF4">
        <w:t xml:space="preserve"> ?</w:t>
      </w:r>
    </w:p>
    <w:p w:rsidR="00A718A2" w:rsidRPr="00CB5FF4" w:rsidRDefault="00CB5FF4" w:rsidP="00CB5FF4">
      <w:pPr>
        <w:pStyle w:val="ListParagraph"/>
        <w:numPr>
          <w:ilvl w:val="0"/>
          <w:numId w:val="12"/>
        </w:numPr>
      </w:pPr>
      <w:proofErr w:type="spellStart"/>
      <w:r w:rsidRPr="00CB5FF4">
        <w:t>Gambarkan</w:t>
      </w:r>
      <w:proofErr w:type="spellEnd"/>
      <w:r w:rsidRPr="00CB5FF4">
        <w:t xml:space="preserve"> proses </w:t>
      </w:r>
      <w:proofErr w:type="spellStart"/>
      <w:proofErr w:type="gramStart"/>
      <w:r w:rsidRPr="00CB5FF4">
        <w:t>anggaran</w:t>
      </w:r>
      <w:proofErr w:type="spellEnd"/>
      <w:r w:rsidRPr="00CB5FF4">
        <w:t xml:space="preserve"> ?</w:t>
      </w:r>
      <w:proofErr w:type="gramEnd"/>
    </w:p>
    <w:p w:rsidR="00A718A2" w:rsidRPr="00CB5FF4" w:rsidRDefault="00CB5FF4" w:rsidP="00CB5FF4">
      <w:pPr>
        <w:pStyle w:val="ListParagraph"/>
        <w:numPr>
          <w:ilvl w:val="0"/>
          <w:numId w:val="12"/>
        </w:numPr>
      </w:pPr>
      <w:proofErr w:type="spellStart"/>
      <w:r w:rsidRPr="00CB5FF4">
        <w:t>Jelaskan</w:t>
      </w:r>
      <w:proofErr w:type="spellEnd"/>
      <w:r w:rsidRPr="00CB5FF4">
        <w:t xml:space="preserve"> </w:t>
      </w:r>
      <w:proofErr w:type="spellStart"/>
      <w:r w:rsidRPr="00CB5FF4">
        <w:t>karakteristik</w:t>
      </w:r>
      <w:proofErr w:type="spellEnd"/>
      <w:r w:rsidRPr="00CB5FF4">
        <w:t xml:space="preserve"> </w:t>
      </w:r>
      <w:proofErr w:type="spellStart"/>
      <w:r w:rsidRPr="00CB5FF4">
        <w:t>kualitatif</w:t>
      </w:r>
      <w:proofErr w:type="spellEnd"/>
      <w:r w:rsidRPr="00CB5FF4">
        <w:t xml:space="preserve"> </w:t>
      </w:r>
      <w:proofErr w:type="spellStart"/>
      <w:r w:rsidRPr="00CB5FF4">
        <w:t>laporan</w:t>
      </w:r>
      <w:proofErr w:type="spellEnd"/>
      <w:r w:rsidRPr="00CB5FF4">
        <w:t xml:space="preserve"> </w:t>
      </w:r>
      <w:proofErr w:type="spellStart"/>
      <w:proofErr w:type="gramStart"/>
      <w:r w:rsidRPr="00CB5FF4">
        <w:t>keuangan</w:t>
      </w:r>
      <w:proofErr w:type="spellEnd"/>
      <w:r w:rsidRPr="00CB5FF4">
        <w:t xml:space="preserve"> ?</w:t>
      </w:r>
      <w:proofErr w:type="gramEnd"/>
    </w:p>
    <w:p w:rsidR="00CB5FF4" w:rsidRPr="000D602F" w:rsidRDefault="00CB5FF4" w:rsidP="00CB5FF4">
      <w:pPr>
        <w:pStyle w:val="ListParagraph"/>
        <w:ind w:left="360"/>
        <w:jc w:val="both"/>
        <w:rPr>
          <w:sz w:val="22"/>
          <w:szCs w:val="22"/>
          <w:lang w:val="id-ID"/>
        </w:rPr>
      </w:pPr>
    </w:p>
    <w:p w:rsidR="00CB5FF4" w:rsidRPr="002A4159" w:rsidRDefault="00CB5FF4" w:rsidP="00CB5FF4">
      <w:pPr>
        <w:jc w:val="center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BIASAKAN BERDOA DAHULU SEBELUM BEKERJA # SELAMAT BEKERJA # </w:t>
      </w:r>
      <w:r>
        <w:rPr>
          <w:sz w:val="22"/>
          <w:szCs w:val="22"/>
          <w:lang w:val="nb-NO"/>
        </w:rPr>
        <w:sym w:font="Wingdings" w:char="F04A"/>
      </w:r>
      <w:r>
        <w:rPr>
          <w:sz w:val="22"/>
          <w:szCs w:val="22"/>
          <w:lang w:val="nb-NO"/>
        </w:rPr>
        <w:t xml:space="preserve"> </w:t>
      </w:r>
    </w:p>
    <w:p w:rsidR="007C2C44" w:rsidRDefault="007C2C44"/>
    <w:sectPr w:rsidR="007C2C44" w:rsidSect="002A4159">
      <w:pgSz w:w="11906" w:h="16838" w:code="9"/>
      <w:pgMar w:top="1440" w:right="1282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9A8"/>
    <w:multiLevelType w:val="hybridMultilevel"/>
    <w:tmpl w:val="A80C5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348C1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B5F27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A290C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048B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06ED0"/>
    <w:multiLevelType w:val="hybridMultilevel"/>
    <w:tmpl w:val="06763D10"/>
    <w:lvl w:ilvl="0" w:tplc="EB14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A9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84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43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8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44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2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20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474B6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C72"/>
    <w:multiLevelType w:val="hybridMultilevel"/>
    <w:tmpl w:val="A80C53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C327C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D382E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000BE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612FA"/>
    <w:multiLevelType w:val="hybridMultilevel"/>
    <w:tmpl w:val="6E30B892"/>
    <w:lvl w:ilvl="0" w:tplc="270A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248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C4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A3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C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E8A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C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4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2C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97362"/>
    <w:multiLevelType w:val="hybridMultilevel"/>
    <w:tmpl w:val="80A49122"/>
    <w:lvl w:ilvl="0" w:tplc="7192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0C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A4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F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09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E3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80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66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6A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D6ADB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AD6620"/>
    <w:multiLevelType w:val="hybridMultilevel"/>
    <w:tmpl w:val="139497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E089B"/>
    <w:multiLevelType w:val="hybridMultilevel"/>
    <w:tmpl w:val="CB1C6FF6"/>
    <w:lvl w:ilvl="0" w:tplc="B218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4C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80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0B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4F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CB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00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8C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63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CE77F3"/>
    <w:multiLevelType w:val="hybridMultilevel"/>
    <w:tmpl w:val="D4D0A836"/>
    <w:lvl w:ilvl="0" w:tplc="B15A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A0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2D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8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C8D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012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42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6B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87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F4"/>
    <w:rsid w:val="0037500F"/>
    <w:rsid w:val="007C2C44"/>
    <w:rsid w:val="00A718A2"/>
    <w:rsid w:val="00C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B178"/>
  <w15:chartTrackingRefBased/>
  <w15:docId w15:val="{16C0E8AA-9A3A-4A14-A25F-124F425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5FF4"/>
    <w:pPr>
      <w:keepNext/>
      <w:tabs>
        <w:tab w:val="left" w:pos="1843"/>
      </w:tabs>
      <w:outlineLvl w:val="0"/>
    </w:pPr>
    <w:rPr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FF4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B5FF4"/>
    <w:pPr>
      <w:ind w:left="720"/>
      <w:contextualSpacing/>
    </w:pPr>
  </w:style>
  <w:style w:type="table" w:styleId="TableGrid">
    <w:name w:val="Table Grid"/>
    <w:basedOn w:val="TableNormal"/>
    <w:uiPriority w:val="39"/>
    <w:rsid w:val="00CB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06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864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2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1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982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</cp:lastModifiedBy>
  <cp:revision>2</cp:revision>
  <dcterms:created xsi:type="dcterms:W3CDTF">2020-05-05T23:27:00Z</dcterms:created>
  <dcterms:modified xsi:type="dcterms:W3CDTF">2020-05-06T00:30:00Z</dcterms:modified>
</cp:coreProperties>
</file>