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BD" w:rsidRPr="00BD7336" w:rsidRDefault="009531BD" w:rsidP="009531BD">
      <w:pPr>
        <w:pStyle w:val="Title"/>
        <w:rPr>
          <w:rFonts w:ascii="Bremen Bd BT" w:hAnsi="Bremen Bd BT"/>
          <w:sz w:val="32"/>
          <w:lang w:val="sv-SE"/>
        </w:rPr>
      </w:pPr>
      <w:bookmarkStart w:id="0" w:name="_GoBack"/>
      <w:bookmarkEnd w:id="0"/>
      <w:r>
        <w:rPr>
          <w:rFonts w:ascii="Bremen Bd BT" w:hAnsi="Bremen Bd BT"/>
          <w:sz w:val="32"/>
          <w:lang w:val="sv-SE"/>
        </w:rPr>
        <w:t>AKTIVA TETAP</w:t>
      </w:r>
    </w:p>
    <w:p w:rsidR="009531BD" w:rsidRPr="00C675FB" w:rsidRDefault="009531BD" w:rsidP="009531BD">
      <w:pPr>
        <w:rPr>
          <w:rFonts w:ascii="Verdana" w:hAnsi="Verdana"/>
          <w:lang w:val="sv-SE"/>
        </w:rPr>
      </w:pPr>
    </w:p>
    <w:p w:rsidR="009531BD" w:rsidRPr="006B33C5" w:rsidRDefault="009531BD" w:rsidP="009531BD">
      <w:pPr>
        <w:rPr>
          <w:lang w:val="sv-SE"/>
        </w:rPr>
      </w:pPr>
    </w:p>
    <w:p w:rsidR="009531BD" w:rsidRPr="00C363F0" w:rsidRDefault="009531BD" w:rsidP="009531BD">
      <w:pPr>
        <w:pStyle w:val="BodyText"/>
        <w:numPr>
          <w:ilvl w:val="3"/>
          <w:numId w:val="3"/>
        </w:numPr>
        <w:ind w:left="720" w:hanging="630"/>
        <w:rPr>
          <w:rFonts w:ascii="Bradley Hand ITC" w:hAnsi="Bradley Hand ITC"/>
          <w:b/>
          <w:sz w:val="28"/>
          <w:szCs w:val="28"/>
          <w:lang w:val="id-ID"/>
        </w:rPr>
      </w:pPr>
      <w:r>
        <w:rPr>
          <w:rFonts w:ascii="Bradley Hand ITC" w:hAnsi="Bradley Hand ITC"/>
          <w:b/>
          <w:sz w:val="28"/>
          <w:szCs w:val="28"/>
        </w:rPr>
        <w:t>PENGERTIAN AKTIVA TETAP</w:t>
      </w:r>
    </w:p>
    <w:p w:rsidR="009531BD" w:rsidRDefault="009531BD" w:rsidP="009531BD">
      <w:pPr>
        <w:pStyle w:val="BodyText"/>
        <w:rPr>
          <w:b/>
          <w:bCs/>
          <w:lang w:val="id-ID"/>
        </w:rPr>
      </w:pPr>
    </w:p>
    <w:p w:rsidR="009531BD" w:rsidRPr="00CD4413" w:rsidRDefault="009531BD" w:rsidP="009531BD">
      <w:pPr>
        <w:pStyle w:val="BodyText"/>
        <w:spacing w:line="360" w:lineRule="auto"/>
        <w:rPr>
          <w:bCs/>
        </w:rPr>
      </w:pPr>
      <w:proofErr w:type="spellStart"/>
      <w:r>
        <w:rPr>
          <w:bCs/>
        </w:rPr>
        <w:t>Menurut</w:t>
      </w:r>
      <w:proofErr w:type="spellEnd"/>
      <w:r>
        <w:rPr>
          <w:bCs/>
        </w:rPr>
        <w:t xml:space="preserve"> </w:t>
      </w:r>
      <w:proofErr w:type="spellStart"/>
      <w:r>
        <w:rPr>
          <w:bCs/>
        </w:rPr>
        <w:t>Kieso</w:t>
      </w:r>
      <w:proofErr w:type="spellEnd"/>
      <w:r>
        <w:rPr>
          <w:bCs/>
        </w:rPr>
        <w:t>, 2012:</w:t>
      </w:r>
      <w:proofErr w:type="gramStart"/>
      <w:r>
        <w:rPr>
          <w:bCs/>
        </w:rPr>
        <w:t>386 :</w:t>
      </w:r>
      <w:proofErr w:type="gramEnd"/>
    </w:p>
    <w:p w:rsidR="009531BD" w:rsidRPr="00911C19" w:rsidRDefault="009531BD" w:rsidP="009531BD">
      <w:pPr>
        <w:pStyle w:val="BodyText"/>
        <w:spacing w:line="360" w:lineRule="auto"/>
        <w:rPr>
          <w:bCs/>
          <w:lang w:val="id-ID"/>
        </w:rPr>
      </w:pPr>
      <w:r w:rsidRPr="00911C19">
        <w:rPr>
          <w:bCs/>
          <w:i/>
          <w:lang w:val="id-ID"/>
        </w:rPr>
        <w:t>Fixed Assets are resources  that have three charactersitics : they  have a physical substance (a definite siza and shape), are used in the operations of a business and are not intended  for sale to customer</w:t>
      </w:r>
      <w:r>
        <w:rPr>
          <w:bCs/>
          <w:i/>
          <w:lang w:val="id-ID"/>
        </w:rPr>
        <w:t>.</w:t>
      </w:r>
    </w:p>
    <w:p w:rsidR="009531BD" w:rsidRPr="006B33C5" w:rsidRDefault="009531BD" w:rsidP="009531BD">
      <w:pPr>
        <w:spacing w:line="360" w:lineRule="auto"/>
        <w:jc w:val="both"/>
        <w:rPr>
          <w:lang w:val="sv-SE"/>
        </w:rPr>
      </w:pPr>
      <w:r w:rsidRPr="006B33C5">
        <w:rPr>
          <w:lang w:val="sv-SE"/>
        </w:rPr>
        <w:t>Aktiva yang dapat digunakan oleh perusahaan dalam menjalankan aktivitas usaha dan sifatnya relatif tetap atau jangka waktu perputarannya lebih dari satu tahun.</w:t>
      </w:r>
      <w:r>
        <w:rPr>
          <w:lang w:val="sv-SE"/>
        </w:rPr>
        <w:t>Menurut SAK, aktiva tetap adalah aktiva berwujud ; diperoleh dalam bentuk siap pakai atau dibangun lebih dahulu, digunakan dalam operasi perusahaan, tidak dimaksudkan untuk dijual dalam kegiatan normal perusahaan dan mempunyai manfaat lebih dari 1 tahun periode akuntansi.</w:t>
      </w:r>
    </w:p>
    <w:p w:rsidR="009531BD" w:rsidRDefault="009531BD" w:rsidP="009531BD">
      <w:pPr>
        <w:pStyle w:val="BodyText"/>
        <w:rPr>
          <w:b/>
          <w:bCs/>
          <w:lang w:val="id-ID"/>
        </w:rPr>
      </w:pPr>
    </w:p>
    <w:p w:rsidR="009531BD" w:rsidRDefault="009531BD" w:rsidP="009531BD">
      <w:pPr>
        <w:pStyle w:val="BodyText"/>
        <w:rPr>
          <w:b/>
          <w:bCs/>
          <w:lang w:val="id-ID"/>
        </w:rPr>
      </w:pPr>
    </w:p>
    <w:p w:rsidR="009531BD" w:rsidRPr="00C363F0" w:rsidRDefault="009531BD" w:rsidP="009531BD">
      <w:pPr>
        <w:pStyle w:val="BodyText"/>
        <w:numPr>
          <w:ilvl w:val="3"/>
          <w:numId w:val="3"/>
        </w:numPr>
        <w:tabs>
          <w:tab w:val="left" w:pos="2790"/>
        </w:tabs>
        <w:ind w:left="630" w:hanging="630"/>
        <w:rPr>
          <w:rFonts w:ascii="Bradley Hand ITC" w:hAnsi="Bradley Hand ITC"/>
          <w:b/>
          <w:bCs/>
          <w:sz w:val="28"/>
          <w:szCs w:val="28"/>
          <w:lang w:val="id-ID"/>
        </w:rPr>
      </w:pPr>
      <w:r>
        <w:rPr>
          <w:rFonts w:ascii="Bradley Hand ITC" w:hAnsi="Bradley Hand ITC"/>
          <w:b/>
          <w:bCs/>
          <w:sz w:val="28"/>
          <w:szCs w:val="28"/>
        </w:rPr>
        <w:t xml:space="preserve">ATURAN AKTIVA TETAP BERDASARKAN PSAK DAN </w:t>
      </w:r>
      <w:proofErr w:type="gramStart"/>
      <w:r>
        <w:rPr>
          <w:rFonts w:ascii="Bradley Hand ITC" w:hAnsi="Bradley Hand ITC"/>
          <w:b/>
          <w:bCs/>
          <w:sz w:val="28"/>
          <w:szCs w:val="28"/>
        </w:rPr>
        <w:t>IFRS :</w:t>
      </w:r>
      <w:proofErr w:type="gramEnd"/>
      <w:r>
        <w:rPr>
          <w:rFonts w:ascii="Bradley Hand ITC" w:hAnsi="Bradley Hand ITC"/>
          <w:b/>
          <w:bCs/>
          <w:sz w:val="28"/>
          <w:szCs w:val="28"/>
        </w:rPr>
        <w:t xml:space="preserve"> PSAK NO 16</w:t>
      </w:r>
    </w:p>
    <w:p w:rsidR="009531BD" w:rsidRPr="00C363F0" w:rsidRDefault="009531BD" w:rsidP="009531BD">
      <w:pPr>
        <w:pStyle w:val="BodyText"/>
        <w:tabs>
          <w:tab w:val="left" w:pos="2790"/>
        </w:tabs>
        <w:ind w:left="630" w:hanging="630"/>
        <w:rPr>
          <w:rFonts w:ascii="Bradley Hand ITC" w:hAnsi="Bradley Hand ITC"/>
          <w:b/>
          <w:bCs/>
          <w:sz w:val="28"/>
          <w:szCs w:val="28"/>
          <w:lang w:val="id-ID"/>
        </w:rPr>
      </w:pPr>
    </w:p>
    <w:p w:rsidR="009531BD" w:rsidRPr="00C363F0" w:rsidRDefault="009531BD" w:rsidP="009531BD">
      <w:pPr>
        <w:pStyle w:val="BodyText"/>
        <w:numPr>
          <w:ilvl w:val="2"/>
          <w:numId w:val="1"/>
        </w:numPr>
        <w:tabs>
          <w:tab w:val="clear" w:pos="2160"/>
          <w:tab w:val="left" w:pos="2790"/>
        </w:tabs>
        <w:ind w:left="630" w:hanging="630"/>
        <w:rPr>
          <w:rFonts w:ascii="Bradley Hand ITC" w:hAnsi="Bradley Hand ITC"/>
          <w:b/>
          <w:bCs/>
          <w:sz w:val="28"/>
          <w:szCs w:val="28"/>
          <w:lang w:val="id-ID"/>
        </w:rPr>
      </w:pPr>
      <w:r w:rsidRPr="00C363F0">
        <w:rPr>
          <w:rFonts w:ascii="Bradley Hand ITC" w:hAnsi="Bradley Hand ITC"/>
          <w:b/>
          <w:bCs/>
          <w:sz w:val="28"/>
          <w:szCs w:val="28"/>
          <w:lang w:val="id-ID"/>
        </w:rPr>
        <w:t>Aturan Berdasarkan IFRS</w:t>
      </w:r>
    </w:p>
    <w:p w:rsidR="009531BD" w:rsidRPr="00C363F0" w:rsidRDefault="009531BD" w:rsidP="009531BD">
      <w:pPr>
        <w:pStyle w:val="BodyText"/>
        <w:tabs>
          <w:tab w:val="left" w:pos="2790"/>
        </w:tabs>
        <w:ind w:left="630" w:hanging="630"/>
        <w:rPr>
          <w:rFonts w:ascii="Bradley Hand ITC" w:hAnsi="Bradley Hand ITC"/>
          <w:bCs/>
          <w:sz w:val="28"/>
          <w:szCs w:val="28"/>
          <w:lang w:val="id-ID"/>
        </w:rPr>
      </w:pPr>
    </w:p>
    <w:p w:rsidR="009531BD" w:rsidRDefault="009531BD" w:rsidP="009531BD">
      <w:pPr>
        <w:spacing w:line="360" w:lineRule="auto"/>
        <w:jc w:val="both"/>
      </w:pPr>
      <w:r>
        <w:t xml:space="preserve">IAS 16 </w:t>
      </w:r>
      <w:proofErr w:type="spellStart"/>
      <w:r>
        <w:t>te</w:t>
      </w:r>
      <w:proofErr w:type="spellEnd"/>
      <w:r>
        <w:rPr>
          <w:lang w:val="id-ID"/>
        </w:rPr>
        <w:t>n</w:t>
      </w:r>
      <w:r>
        <w:t>tang, ‘</w:t>
      </w:r>
      <w:r w:rsidRPr="00911C19">
        <w:rPr>
          <w:i/>
        </w:rPr>
        <w:t>Property, Plant and Equipment’</w:t>
      </w:r>
      <w:r>
        <w:t>.</w:t>
      </w:r>
    </w:p>
    <w:p w:rsidR="009531BD" w:rsidRDefault="009531BD" w:rsidP="009531BD">
      <w:pPr>
        <w:spacing w:line="360" w:lineRule="auto"/>
        <w:jc w:val="both"/>
      </w:pPr>
      <w:proofErr w:type="spellStart"/>
      <w:r>
        <w:t>Aktiva</w:t>
      </w:r>
      <w:proofErr w:type="spellEnd"/>
      <w:r>
        <w:t xml:space="preserve"> </w:t>
      </w:r>
      <w:proofErr w:type="spellStart"/>
      <w:r>
        <w:t>tetap</w:t>
      </w:r>
      <w:proofErr w:type="spellEnd"/>
      <w:r>
        <w:t xml:space="preserve"> </w:t>
      </w:r>
      <w:proofErr w:type="spellStart"/>
      <w:r>
        <w:t>berwujud</w:t>
      </w:r>
      <w:proofErr w:type="spellEnd"/>
      <w:r>
        <w:t xml:space="preserve"> </w:t>
      </w:r>
      <w:proofErr w:type="spellStart"/>
      <w:r>
        <w:t>dapat</w:t>
      </w:r>
      <w:proofErr w:type="spellEnd"/>
      <w:r>
        <w:t xml:space="preserve"> </w:t>
      </w:r>
      <w:proofErr w:type="spellStart"/>
      <w:r>
        <w:t>dinilai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dua</w:t>
      </w:r>
      <w:proofErr w:type="spellEnd"/>
      <w:r>
        <w:t xml:space="preserve"> </w:t>
      </w:r>
      <w:proofErr w:type="spellStart"/>
      <w:r>
        <w:t>pendekatan</w:t>
      </w:r>
      <w:proofErr w:type="spellEnd"/>
      <w:r>
        <w:t xml:space="preserve">, </w:t>
      </w:r>
      <w:proofErr w:type="spellStart"/>
      <w:r>
        <w:t>yaitu</w:t>
      </w:r>
      <w:proofErr w:type="spellEnd"/>
      <w:r>
        <w:t xml:space="preserve"> model </w:t>
      </w:r>
      <w:proofErr w:type="spellStart"/>
      <w:r>
        <w:t>revaluasi</w:t>
      </w:r>
      <w:proofErr w:type="spellEnd"/>
      <w:r>
        <w:t xml:space="preserve"> </w:t>
      </w:r>
      <w:proofErr w:type="spellStart"/>
      <w:r>
        <w:t>dan</w:t>
      </w:r>
      <w:proofErr w:type="spellEnd"/>
      <w:r>
        <w:t xml:space="preserve"> model </w:t>
      </w:r>
      <w:proofErr w:type="spellStart"/>
      <w:r>
        <w:t>harga</w:t>
      </w:r>
      <w:proofErr w:type="spellEnd"/>
      <w:r>
        <w:t xml:space="preserve"> </w:t>
      </w:r>
      <w:proofErr w:type="spellStart"/>
      <w:r>
        <w:t>perolehan</w:t>
      </w:r>
      <w:proofErr w:type="spellEnd"/>
      <w:r>
        <w:t xml:space="preserve">. </w:t>
      </w:r>
      <w:proofErr w:type="spellStart"/>
      <w:r>
        <w:t>Selisih</w:t>
      </w:r>
      <w:proofErr w:type="spellEnd"/>
      <w:r>
        <w:t xml:space="preserve"> yang </w:t>
      </w:r>
      <w:proofErr w:type="spellStart"/>
      <w:r>
        <w:t>timbul</w:t>
      </w:r>
      <w:proofErr w:type="spellEnd"/>
      <w:r>
        <w:t xml:space="preserve"> </w:t>
      </w:r>
      <w:proofErr w:type="spellStart"/>
      <w:r>
        <w:t>akibat</w:t>
      </w:r>
      <w:proofErr w:type="spellEnd"/>
      <w:r>
        <w:t xml:space="preserve"> </w:t>
      </w:r>
      <w:proofErr w:type="spellStart"/>
      <w:r>
        <w:t>revaluasi</w:t>
      </w:r>
      <w:proofErr w:type="spellEnd"/>
      <w:r>
        <w:t xml:space="preserve"> </w:t>
      </w:r>
      <w:proofErr w:type="spellStart"/>
      <w:r>
        <w:t>diakui</w:t>
      </w:r>
      <w:proofErr w:type="spellEnd"/>
      <w:r>
        <w:t xml:space="preserve"> </w:t>
      </w:r>
      <w:proofErr w:type="spellStart"/>
      <w:r>
        <w:t>sebagai</w:t>
      </w:r>
      <w:proofErr w:type="spellEnd"/>
      <w:r>
        <w:t xml:space="preserve"> “</w:t>
      </w:r>
      <w:proofErr w:type="spellStart"/>
      <w:r>
        <w:t>Surlus</w:t>
      </w:r>
      <w:proofErr w:type="spellEnd"/>
      <w:r>
        <w:t xml:space="preserve"> </w:t>
      </w:r>
      <w:r>
        <w:rPr>
          <w:lang w:val="id-ID"/>
        </w:rPr>
        <w:t>R</w:t>
      </w:r>
      <w:proofErr w:type="spellStart"/>
      <w:r>
        <w:t>evaluasi</w:t>
      </w:r>
      <w:proofErr w:type="spellEnd"/>
      <w:r>
        <w:t xml:space="preserve">” yang </w:t>
      </w:r>
      <w:proofErr w:type="spellStart"/>
      <w:r>
        <w:t>dikelompokkan</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ekuitas</w:t>
      </w:r>
      <w:proofErr w:type="spellEnd"/>
      <w:r>
        <w:t xml:space="preserve"> (IAS 16 par.30-31, 39</w:t>
      </w:r>
      <w:proofErr w:type="gramStart"/>
      <w:r>
        <w:t>).</w:t>
      </w:r>
      <w:proofErr w:type="spellStart"/>
      <w:r>
        <w:t>Metode</w:t>
      </w:r>
      <w:proofErr w:type="spellEnd"/>
      <w:proofErr w:type="gramEnd"/>
      <w:r>
        <w:t xml:space="preserve"> </w:t>
      </w:r>
      <w:proofErr w:type="spellStart"/>
      <w:r>
        <w:t>penyusutan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aktiva</w:t>
      </w:r>
      <w:proofErr w:type="spellEnd"/>
      <w:r>
        <w:t xml:space="preserve"> </w:t>
      </w:r>
      <w:proofErr w:type="spellStart"/>
      <w:r>
        <w:t>tetap</w:t>
      </w:r>
      <w:proofErr w:type="spellEnd"/>
      <w:r>
        <w:t xml:space="preserve"> </w:t>
      </w:r>
      <w:proofErr w:type="spellStart"/>
      <w:r>
        <w:t>ditelaah</w:t>
      </w:r>
      <w:proofErr w:type="spellEnd"/>
      <w:r>
        <w:t xml:space="preserve"> </w:t>
      </w:r>
      <w:proofErr w:type="spellStart"/>
      <w:r>
        <w:t>ulang</w:t>
      </w:r>
      <w:proofErr w:type="spellEnd"/>
      <w:r>
        <w:t xml:space="preserve"> </w:t>
      </w:r>
      <w:proofErr w:type="spellStart"/>
      <w:r>
        <w:t>secara</w:t>
      </w:r>
      <w:proofErr w:type="spellEnd"/>
      <w:r>
        <w:t xml:space="preserve"> </w:t>
      </w:r>
      <w:proofErr w:type="spellStart"/>
      <w:r>
        <w:t>periodik</w:t>
      </w:r>
      <w:proofErr w:type="spellEnd"/>
      <w:r>
        <w:t xml:space="preserve">. </w:t>
      </w:r>
      <w:proofErr w:type="spellStart"/>
      <w:r>
        <w:t>Koreksi</w:t>
      </w:r>
      <w:proofErr w:type="spellEnd"/>
      <w:r>
        <w:t xml:space="preserve"> </w:t>
      </w:r>
      <w:proofErr w:type="spellStart"/>
      <w:r>
        <w:t>akibat</w:t>
      </w:r>
      <w:proofErr w:type="spellEnd"/>
      <w:r>
        <w:t xml:space="preserve"> </w:t>
      </w:r>
      <w:proofErr w:type="spellStart"/>
      <w:r>
        <w:t>penelaahan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diperlakukan</w:t>
      </w:r>
      <w:proofErr w:type="spellEnd"/>
      <w:r>
        <w:t xml:space="preserve"> </w:t>
      </w:r>
      <w:proofErr w:type="spellStart"/>
      <w:r>
        <w:t>sesuai</w:t>
      </w:r>
      <w:proofErr w:type="spellEnd"/>
      <w:r>
        <w:t xml:space="preserve"> </w:t>
      </w:r>
      <w:proofErr w:type="spellStart"/>
      <w:r>
        <w:t>dengan</w:t>
      </w:r>
      <w:proofErr w:type="spellEnd"/>
      <w:r>
        <w:t xml:space="preserve"> IAS 8 (IAS 16 par.61).</w:t>
      </w:r>
      <w:proofErr w:type="spellStart"/>
      <w:r>
        <w:t>Biaya</w:t>
      </w:r>
      <w:proofErr w:type="spellEnd"/>
      <w:r>
        <w:t xml:space="preserve"> </w:t>
      </w:r>
      <w:proofErr w:type="spellStart"/>
      <w:r>
        <w:t>penghentian</w:t>
      </w:r>
      <w:proofErr w:type="spellEnd"/>
      <w:r>
        <w:t xml:space="preserve"> </w:t>
      </w:r>
      <w:proofErr w:type="spellStart"/>
      <w:r>
        <w:t>aktiva</w:t>
      </w:r>
      <w:proofErr w:type="spellEnd"/>
      <w:r>
        <w:t xml:space="preserve"> </w:t>
      </w:r>
      <w:proofErr w:type="spellStart"/>
      <w:r>
        <w:t>dikapitilasikan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harga</w:t>
      </w:r>
      <w:proofErr w:type="spellEnd"/>
      <w:r>
        <w:t xml:space="preserve"> </w:t>
      </w:r>
      <w:proofErr w:type="spellStart"/>
      <w:r>
        <w:t>perolehan</w:t>
      </w:r>
      <w:proofErr w:type="spellEnd"/>
      <w:r>
        <w:t xml:space="preserve"> </w:t>
      </w:r>
      <w:proofErr w:type="spellStart"/>
      <w:r>
        <w:t>aktiva</w:t>
      </w:r>
      <w:proofErr w:type="spellEnd"/>
      <w:r>
        <w:t xml:space="preserve"> </w:t>
      </w:r>
      <w:proofErr w:type="spellStart"/>
      <w:r>
        <w:t>sebagaimana</w:t>
      </w:r>
      <w:proofErr w:type="spellEnd"/>
      <w:r>
        <w:t xml:space="preserve"> </w:t>
      </w:r>
      <w:proofErr w:type="spellStart"/>
      <w:r>
        <w:t>diatur</w:t>
      </w:r>
      <w:proofErr w:type="spellEnd"/>
      <w:r>
        <w:t xml:space="preserve"> </w:t>
      </w:r>
      <w:proofErr w:type="spellStart"/>
      <w:r>
        <w:t>dalam</w:t>
      </w:r>
      <w:proofErr w:type="spellEnd"/>
      <w:r>
        <w:t xml:space="preserve"> IAS 37, ‘</w:t>
      </w:r>
      <w:proofErr w:type="spellStart"/>
      <w:r w:rsidRPr="002D0675">
        <w:rPr>
          <w:i/>
        </w:rPr>
        <w:t>Provissions</w:t>
      </w:r>
      <w:proofErr w:type="spellEnd"/>
      <w:r w:rsidRPr="002D0675">
        <w:rPr>
          <w:i/>
        </w:rPr>
        <w:t xml:space="preserve">, </w:t>
      </w:r>
      <w:proofErr w:type="spellStart"/>
      <w:r w:rsidRPr="002D0675">
        <w:rPr>
          <w:i/>
        </w:rPr>
        <w:t>Contigent</w:t>
      </w:r>
      <w:proofErr w:type="spellEnd"/>
      <w:r w:rsidRPr="002D0675">
        <w:rPr>
          <w:i/>
        </w:rPr>
        <w:t xml:space="preserve"> </w:t>
      </w:r>
      <w:proofErr w:type="spellStart"/>
      <w:r w:rsidRPr="002D0675">
        <w:rPr>
          <w:i/>
        </w:rPr>
        <w:t>Liabiities</w:t>
      </w:r>
      <w:proofErr w:type="spellEnd"/>
      <w:r w:rsidRPr="002D0675">
        <w:rPr>
          <w:i/>
        </w:rPr>
        <w:t xml:space="preserve"> and </w:t>
      </w:r>
      <w:proofErr w:type="spellStart"/>
      <w:r w:rsidRPr="002D0675">
        <w:rPr>
          <w:i/>
        </w:rPr>
        <w:t>Contigent</w:t>
      </w:r>
      <w:proofErr w:type="spellEnd"/>
      <w:r w:rsidRPr="002D0675">
        <w:rPr>
          <w:i/>
        </w:rPr>
        <w:t xml:space="preserve"> Assets’</w:t>
      </w:r>
      <w:r>
        <w:t xml:space="preserve"> (IAS 16 par.14).</w:t>
      </w:r>
      <w:proofErr w:type="spellStart"/>
      <w:r>
        <w:t>Manajemen</w:t>
      </w:r>
      <w:proofErr w:type="spellEnd"/>
      <w:r>
        <w:t xml:space="preserve"> </w:t>
      </w:r>
      <w:proofErr w:type="spellStart"/>
      <w:r>
        <w:t>diwajibkan</w:t>
      </w:r>
      <w:proofErr w:type="spellEnd"/>
      <w:r>
        <w:t xml:space="preserve"> </w:t>
      </w:r>
      <w:proofErr w:type="spellStart"/>
      <w:r>
        <w:t>melakukan</w:t>
      </w:r>
      <w:proofErr w:type="spellEnd"/>
      <w:r>
        <w:t xml:space="preserve"> review </w:t>
      </w:r>
      <w:proofErr w:type="spellStart"/>
      <w:r>
        <w:t>atas</w:t>
      </w:r>
      <w:proofErr w:type="spellEnd"/>
      <w:r>
        <w:t xml:space="preserve"> </w:t>
      </w:r>
      <w:proofErr w:type="spellStart"/>
      <w:r>
        <w:t>nilai</w:t>
      </w:r>
      <w:proofErr w:type="spellEnd"/>
      <w:r>
        <w:t xml:space="preserve"> </w:t>
      </w:r>
      <w:proofErr w:type="spellStart"/>
      <w:r>
        <w:t>residu</w:t>
      </w:r>
      <w:proofErr w:type="spellEnd"/>
      <w:r>
        <w:t xml:space="preserve"> </w:t>
      </w:r>
      <w:proofErr w:type="spellStart"/>
      <w:r>
        <w:t>dan</w:t>
      </w:r>
      <w:proofErr w:type="spellEnd"/>
      <w:r>
        <w:t xml:space="preserve"> masa </w:t>
      </w:r>
      <w:proofErr w:type="spellStart"/>
      <w:r>
        <w:t>manfaat</w:t>
      </w:r>
      <w:proofErr w:type="spellEnd"/>
      <w:r>
        <w:t xml:space="preserve"> </w:t>
      </w:r>
      <w:proofErr w:type="spellStart"/>
      <w:r>
        <w:t>aktiva</w:t>
      </w:r>
      <w:proofErr w:type="spellEnd"/>
      <w:r>
        <w:t xml:space="preserve"> </w:t>
      </w:r>
      <w:proofErr w:type="spellStart"/>
      <w:r>
        <w:t>setiap</w:t>
      </w:r>
      <w:proofErr w:type="spellEnd"/>
      <w:r>
        <w:t xml:space="preserve"> </w:t>
      </w:r>
      <w:proofErr w:type="spellStart"/>
      <w:r>
        <w:t>akhir</w:t>
      </w:r>
      <w:proofErr w:type="spellEnd"/>
      <w:r>
        <w:t xml:space="preserve"> </w:t>
      </w:r>
      <w:proofErr w:type="spellStart"/>
      <w:r>
        <w:t>tahun</w:t>
      </w:r>
      <w:proofErr w:type="spellEnd"/>
      <w:r>
        <w:t xml:space="preserve">, </w:t>
      </w:r>
      <w:proofErr w:type="spellStart"/>
      <w:r>
        <w:t>dan</w:t>
      </w:r>
      <w:proofErr w:type="spellEnd"/>
      <w:r>
        <w:t xml:space="preserve"> </w:t>
      </w:r>
      <w:proofErr w:type="spellStart"/>
      <w:r>
        <w:t>apabila</w:t>
      </w:r>
      <w:proofErr w:type="spellEnd"/>
      <w:r>
        <w:t xml:space="preserve"> </w:t>
      </w:r>
      <w:proofErr w:type="spellStart"/>
      <w:r>
        <w:t>harapan</w:t>
      </w:r>
      <w:proofErr w:type="spellEnd"/>
      <w:r>
        <w:t xml:space="preserve"> </w:t>
      </w:r>
      <w:proofErr w:type="spellStart"/>
      <w:r>
        <w:t>berbeda</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dengan</w:t>
      </w:r>
      <w:proofErr w:type="spellEnd"/>
      <w:r>
        <w:t xml:space="preserve"> </w:t>
      </w:r>
      <w:proofErr w:type="spellStart"/>
      <w:r>
        <w:t>estimasi</w:t>
      </w:r>
      <w:proofErr w:type="spellEnd"/>
      <w:r>
        <w:t xml:space="preserve"> </w:t>
      </w:r>
      <w:proofErr w:type="spellStart"/>
      <w:r>
        <w:t>sbelumnya</w:t>
      </w:r>
      <w:proofErr w:type="spellEnd"/>
      <w:r>
        <w:t xml:space="preserve">, mana </w:t>
      </w:r>
      <w:proofErr w:type="spellStart"/>
      <w:r>
        <w:t>beban</w:t>
      </w:r>
      <w:proofErr w:type="spellEnd"/>
      <w:r>
        <w:t xml:space="preserve"> </w:t>
      </w:r>
      <w:proofErr w:type="spellStart"/>
      <w:r>
        <w:t>penyusutan</w:t>
      </w:r>
      <w:proofErr w:type="spellEnd"/>
      <w:r>
        <w:t xml:space="preserve"> masa </w:t>
      </w:r>
      <w:proofErr w:type="spellStart"/>
      <w:r>
        <w:t>sekarang</w:t>
      </w:r>
      <w:proofErr w:type="spellEnd"/>
      <w:r>
        <w:t xml:space="preserve"> </w:t>
      </w:r>
      <w:proofErr w:type="spellStart"/>
      <w:r>
        <w:t>dan</w:t>
      </w:r>
      <w:proofErr w:type="spellEnd"/>
      <w:r>
        <w:t xml:space="preserve"> masa yang </w:t>
      </w:r>
      <w:proofErr w:type="spellStart"/>
      <w:r>
        <w:t>akan</w:t>
      </w:r>
      <w:proofErr w:type="spellEnd"/>
      <w:r>
        <w:t xml:space="preserve"> </w:t>
      </w:r>
      <w:proofErr w:type="spellStart"/>
      <w:r>
        <w:t>datang</w:t>
      </w:r>
      <w:proofErr w:type="spellEnd"/>
      <w:r>
        <w:t xml:space="preserve"> </w:t>
      </w:r>
      <w:proofErr w:type="spellStart"/>
      <w:r>
        <w:t>harus</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menggunakan</w:t>
      </w:r>
      <w:proofErr w:type="spellEnd"/>
      <w:r>
        <w:t xml:space="preserve"> IAS 8 </w:t>
      </w:r>
      <w:proofErr w:type="spellStart"/>
      <w:r>
        <w:t>tentang</w:t>
      </w:r>
      <w:proofErr w:type="spellEnd"/>
      <w:r>
        <w:t>, ‘</w:t>
      </w:r>
      <w:r w:rsidRPr="002D0675">
        <w:rPr>
          <w:i/>
        </w:rPr>
        <w:t>Accounting Policies, Changes in Accounting Estimates and Errors</w:t>
      </w:r>
      <w:r>
        <w:t>’ (IAS 16 par.51).</w:t>
      </w:r>
      <w:proofErr w:type="spellStart"/>
      <w:r>
        <w:t>Manajemen</w:t>
      </w:r>
      <w:proofErr w:type="spellEnd"/>
      <w:r>
        <w:t xml:space="preserve"> </w:t>
      </w:r>
      <w:proofErr w:type="spellStart"/>
      <w:r>
        <w:t>diwajibkan</w:t>
      </w:r>
      <w:proofErr w:type="spellEnd"/>
      <w:r>
        <w:t xml:space="preserve"> </w:t>
      </w:r>
      <w:proofErr w:type="spellStart"/>
      <w:r>
        <w:t>melakukan</w:t>
      </w:r>
      <w:proofErr w:type="spellEnd"/>
      <w:r>
        <w:t xml:space="preserve"> review </w:t>
      </w:r>
      <w:proofErr w:type="spellStart"/>
      <w:r>
        <w:t>atas</w:t>
      </w:r>
      <w:proofErr w:type="spellEnd"/>
      <w:r>
        <w:t xml:space="preserve"> </w:t>
      </w:r>
      <w:proofErr w:type="spellStart"/>
      <w:r>
        <w:t>metode</w:t>
      </w:r>
      <w:proofErr w:type="spellEnd"/>
      <w:r>
        <w:t xml:space="preserve"> </w:t>
      </w:r>
      <w:proofErr w:type="spellStart"/>
      <w:r>
        <w:t>penyusutan</w:t>
      </w:r>
      <w:proofErr w:type="spellEnd"/>
      <w:r>
        <w:t xml:space="preserve"> </w:t>
      </w:r>
      <w:proofErr w:type="spellStart"/>
      <w:r>
        <w:t>secara</w:t>
      </w:r>
      <w:proofErr w:type="spellEnd"/>
      <w:r>
        <w:t xml:space="preserve"> </w:t>
      </w:r>
      <w:proofErr w:type="spellStart"/>
      <w:r>
        <w:t>periodik</w:t>
      </w:r>
      <w:proofErr w:type="spellEnd"/>
      <w:r>
        <w:t xml:space="preserve"> </w:t>
      </w:r>
      <w:proofErr w:type="spellStart"/>
      <w:r>
        <w:t>dan</w:t>
      </w:r>
      <w:proofErr w:type="spellEnd"/>
      <w:r>
        <w:t xml:space="preserve"> </w:t>
      </w:r>
      <w:proofErr w:type="spellStart"/>
      <w:r>
        <w:t>jika</w:t>
      </w:r>
      <w:proofErr w:type="spellEnd"/>
      <w:r>
        <w:t xml:space="preserve"> </w:t>
      </w:r>
      <w:proofErr w:type="spellStart"/>
      <w:r>
        <w:t>terdapat</w:t>
      </w:r>
      <w:proofErr w:type="spellEnd"/>
      <w:r>
        <w:t xml:space="preserve"> </w:t>
      </w:r>
      <w:proofErr w:type="spellStart"/>
      <w:r>
        <w:t>perubahan</w:t>
      </w:r>
      <w:proofErr w:type="spellEnd"/>
      <w:r>
        <w:t xml:space="preserve"> </w:t>
      </w:r>
      <w:proofErr w:type="spellStart"/>
      <w:r>
        <w:t>signifikan</w:t>
      </w:r>
      <w:proofErr w:type="spellEnd"/>
      <w:r>
        <w:t xml:space="preserve"> </w:t>
      </w:r>
      <w:proofErr w:type="spellStart"/>
      <w:r>
        <w:t>dengan</w:t>
      </w:r>
      <w:proofErr w:type="spellEnd"/>
      <w:r>
        <w:t xml:space="preserve"> </w:t>
      </w:r>
      <w:proofErr w:type="spellStart"/>
      <w:r>
        <w:t>pola</w:t>
      </w:r>
      <w:proofErr w:type="spellEnd"/>
      <w:r>
        <w:t xml:space="preserve"> </w:t>
      </w:r>
      <w:proofErr w:type="spellStart"/>
      <w:r>
        <w:t>pemanfaatan</w:t>
      </w:r>
      <w:proofErr w:type="spellEnd"/>
      <w:r>
        <w:t xml:space="preserve"> </w:t>
      </w:r>
      <w:proofErr w:type="spellStart"/>
      <w:r>
        <w:lastRenderedPageBreak/>
        <w:t>ekonomi</w:t>
      </w:r>
      <w:proofErr w:type="spellEnd"/>
      <w:r>
        <w:t xml:space="preserve"> yang </w:t>
      </w:r>
      <w:proofErr w:type="spellStart"/>
      <w:r>
        <w:t>diharapkan</w:t>
      </w:r>
      <w:proofErr w:type="spellEnd"/>
      <w:r>
        <w:t xml:space="preserve"> </w:t>
      </w:r>
      <w:proofErr w:type="spellStart"/>
      <w:r>
        <w:t>dari</w:t>
      </w:r>
      <w:proofErr w:type="spellEnd"/>
      <w:r>
        <w:t xml:space="preserve"> </w:t>
      </w:r>
      <w:proofErr w:type="spellStart"/>
      <w:r>
        <w:t>aktiva</w:t>
      </w:r>
      <w:proofErr w:type="spellEnd"/>
      <w:r>
        <w:t xml:space="preserve"> </w:t>
      </w:r>
      <w:proofErr w:type="spellStart"/>
      <w:r>
        <w:t>tersebut</w:t>
      </w:r>
      <w:proofErr w:type="spellEnd"/>
      <w:r>
        <w:t xml:space="preserve">, </w:t>
      </w:r>
      <w:proofErr w:type="spellStart"/>
      <w:r>
        <w:t>metode</w:t>
      </w:r>
      <w:proofErr w:type="spellEnd"/>
      <w:r>
        <w:t xml:space="preserve"> </w:t>
      </w:r>
      <w:proofErr w:type="spellStart"/>
      <w:r>
        <w:t>penyusutan</w:t>
      </w:r>
      <w:proofErr w:type="spellEnd"/>
      <w:r>
        <w:t xml:space="preserve"> </w:t>
      </w:r>
      <w:proofErr w:type="spellStart"/>
      <w:r>
        <w:t>harus</w:t>
      </w:r>
      <w:proofErr w:type="spellEnd"/>
      <w:r>
        <w:t xml:space="preserve"> </w:t>
      </w:r>
      <w:proofErr w:type="spellStart"/>
      <w:r>
        <w:t>dirubah</w:t>
      </w:r>
      <w:proofErr w:type="spellEnd"/>
      <w:r>
        <w:t xml:space="preserve"> </w:t>
      </w:r>
      <w:proofErr w:type="spellStart"/>
      <w:r>
        <w:t>untuk</w:t>
      </w:r>
      <w:proofErr w:type="spellEnd"/>
      <w:r>
        <w:t xml:space="preserve"> </w:t>
      </w:r>
      <w:proofErr w:type="spellStart"/>
      <w:r>
        <w:t>mencerminkan</w:t>
      </w:r>
      <w:proofErr w:type="spellEnd"/>
      <w:r>
        <w:t xml:space="preserve"> </w:t>
      </w:r>
      <w:proofErr w:type="spellStart"/>
      <w:r>
        <w:t>perubahab</w:t>
      </w:r>
      <w:proofErr w:type="spellEnd"/>
      <w:r>
        <w:t xml:space="preserve"> </w:t>
      </w:r>
      <w:proofErr w:type="spellStart"/>
      <w:r>
        <w:t>pola</w:t>
      </w:r>
      <w:proofErr w:type="spellEnd"/>
      <w:r>
        <w:t xml:space="preserve"> </w:t>
      </w:r>
      <w:proofErr w:type="spellStart"/>
      <w:r>
        <w:t>tersebut</w:t>
      </w:r>
      <w:proofErr w:type="spellEnd"/>
      <w:r>
        <w:t xml:space="preserve"> </w:t>
      </w:r>
      <w:proofErr w:type="spellStart"/>
      <w:r>
        <w:t>dengan</w:t>
      </w:r>
      <w:proofErr w:type="spellEnd"/>
      <w:r>
        <w:t xml:space="preserve"> </w:t>
      </w:r>
      <w:proofErr w:type="spellStart"/>
      <w:r>
        <w:t>menggunakkan</w:t>
      </w:r>
      <w:proofErr w:type="spellEnd"/>
      <w:r>
        <w:t xml:space="preserve"> IAS 8 </w:t>
      </w:r>
      <w:proofErr w:type="spellStart"/>
      <w:r>
        <w:t>tentang</w:t>
      </w:r>
      <w:proofErr w:type="spellEnd"/>
      <w:r>
        <w:t>, ‘</w:t>
      </w:r>
      <w:r w:rsidRPr="002D0675">
        <w:rPr>
          <w:i/>
        </w:rPr>
        <w:t>Accounting Policies, Changes in Accounting Estimates and Errors’</w:t>
      </w:r>
      <w:r>
        <w:t xml:space="preserve"> (IAS 16 par.61).</w:t>
      </w:r>
      <w:proofErr w:type="spellStart"/>
      <w:r>
        <w:t>Biaya</w:t>
      </w:r>
      <w:proofErr w:type="spellEnd"/>
      <w:r>
        <w:t xml:space="preserve"> </w:t>
      </w:r>
      <w:proofErr w:type="spellStart"/>
      <w:r>
        <w:t>penghentian</w:t>
      </w:r>
      <w:proofErr w:type="spellEnd"/>
      <w:r>
        <w:t xml:space="preserve"> </w:t>
      </w:r>
      <w:proofErr w:type="spellStart"/>
      <w:r>
        <w:t>aktiva</w:t>
      </w:r>
      <w:proofErr w:type="spellEnd"/>
      <w:r>
        <w:t xml:space="preserve"> (</w:t>
      </w:r>
      <w:r w:rsidRPr="002D0675">
        <w:rPr>
          <w:i/>
        </w:rPr>
        <w:t>asset retirement obligation</w:t>
      </w:r>
      <w:r>
        <w:t xml:space="preserve">) </w:t>
      </w:r>
      <w:proofErr w:type="spellStart"/>
      <w:r>
        <w:t>harus</w:t>
      </w:r>
      <w:proofErr w:type="spellEnd"/>
      <w:r>
        <w:t xml:space="preserve"> </w:t>
      </w:r>
      <w:proofErr w:type="spellStart"/>
      <w:r>
        <w:t>dikapitalisasi</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harga</w:t>
      </w:r>
      <w:proofErr w:type="spellEnd"/>
      <w:r>
        <w:t xml:space="preserve"> </w:t>
      </w:r>
      <w:proofErr w:type="spellStart"/>
      <w:r>
        <w:t>perolehan</w:t>
      </w:r>
      <w:proofErr w:type="spellEnd"/>
      <w:r>
        <w:t xml:space="preserve"> </w:t>
      </w:r>
      <w:proofErr w:type="spellStart"/>
      <w:r>
        <w:t>aktiva</w:t>
      </w:r>
      <w:proofErr w:type="spellEnd"/>
      <w:r>
        <w:t xml:space="preserve"> </w:t>
      </w:r>
      <w:proofErr w:type="spellStart"/>
      <w:r>
        <w:t>tetap</w:t>
      </w:r>
      <w:proofErr w:type="spellEnd"/>
      <w:r>
        <w:t xml:space="preserve"> (IAS 16 par.16).</w:t>
      </w:r>
    </w:p>
    <w:p w:rsidR="009531BD" w:rsidRDefault="009531BD" w:rsidP="009531BD">
      <w:pPr>
        <w:pStyle w:val="BodyText"/>
        <w:spacing w:line="360" w:lineRule="auto"/>
        <w:rPr>
          <w:b/>
          <w:lang w:val="id-ID"/>
        </w:rPr>
      </w:pPr>
    </w:p>
    <w:p w:rsidR="009531BD" w:rsidRPr="00C363F0" w:rsidRDefault="009531BD" w:rsidP="009531BD">
      <w:pPr>
        <w:pStyle w:val="BodyText"/>
        <w:numPr>
          <w:ilvl w:val="1"/>
          <w:numId w:val="1"/>
        </w:numPr>
        <w:tabs>
          <w:tab w:val="clear" w:pos="1440"/>
          <w:tab w:val="num" w:pos="900"/>
        </w:tabs>
        <w:spacing w:line="360" w:lineRule="auto"/>
        <w:ind w:left="630" w:hanging="540"/>
        <w:rPr>
          <w:rFonts w:ascii="Bradley Hand ITC" w:hAnsi="Bradley Hand ITC"/>
          <w:b/>
          <w:sz w:val="28"/>
          <w:szCs w:val="28"/>
          <w:lang w:val="id-ID"/>
        </w:rPr>
      </w:pPr>
      <w:r w:rsidRPr="00C363F0">
        <w:rPr>
          <w:rFonts w:ascii="Bradley Hand ITC" w:hAnsi="Bradley Hand ITC"/>
          <w:b/>
          <w:sz w:val="28"/>
          <w:szCs w:val="28"/>
          <w:lang w:val="id-ID"/>
        </w:rPr>
        <w:t>IFRS – A Look at IFRS</w:t>
      </w:r>
    </w:p>
    <w:p w:rsidR="009531BD" w:rsidRDefault="009531BD" w:rsidP="009531BD">
      <w:pPr>
        <w:pStyle w:val="BodyText"/>
        <w:spacing w:line="360" w:lineRule="auto"/>
        <w:rPr>
          <w:lang w:val="id-ID"/>
        </w:rPr>
      </w:pPr>
      <w:r w:rsidRPr="003A1FD4">
        <w:rPr>
          <w:i/>
          <w:lang w:val="id-ID"/>
        </w:rPr>
        <w:t>IFRS follows most of the same principles as GAAP in the accounting for property, plant, and equipment. There are, however, some significant differences in the implementation : IFRS allows the use of revaluation of property, plant and equipment and it also requiresthe use of component depreciation. In addition, there are some significant differences in the accounting for both intangible assets and impairments</w:t>
      </w:r>
      <w:r>
        <w:rPr>
          <w:lang w:val="id-ID"/>
        </w:rPr>
        <w:t>(Kieso, 2012:424).</w:t>
      </w:r>
    </w:p>
    <w:p w:rsidR="009531BD" w:rsidRDefault="009531BD" w:rsidP="009531BD">
      <w:pPr>
        <w:spacing w:line="360" w:lineRule="auto"/>
        <w:jc w:val="both"/>
        <w:rPr>
          <w:u w:val="single"/>
          <w:lang w:val="id-ID"/>
        </w:rPr>
      </w:pPr>
    </w:p>
    <w:p w:rsidR="009531BD" w:rsidRDefault="009531BD" w:rsidP="009531BD">
      <w:pPr>
        <w:spacing w:line="360" w:lineRule="auto"/>
        <w:jc w:val="both"/>
        <w:outlineLvl w:val="0"/>
        <w:rPr>
          <w:u w:val="single"/>
        </w:rPr>
      </w:pPr>
      <w:proofErr w:type="spellStart"/>
      <w:r>
        <w:rPr>
          <w:u w:val="single"/>
        </w:rPr>
        <w:t>Ciri-</w:t>
      </w:r>
      <w:proofErr w:type="gramStart"/>
      <w:r>
        <w:rPr>
          <w:u w:val="single"/>
        </w:rPr>
        <w:t>cirinya</w:t>
      </w:r>
      <w:proofErr w:type="spellEnd"/>
      <w:r>
        <w:rPr>
          <w:u w:val="single"/>
        </w:rPr>
        <w:t xml:space="preserve"> :</w:t>
      </w:r>
      <w:proofErr w:type="gramEnd"/>
    </w:p>
    <w:p w:rsidR="009531BD" w:rsidRDefault="009531BD" w:rsidP="009531BD">
      <w:pPr>
        <w:numPr>
          <w:ilvl w:val="0"/>
          <w:numId w:val="4"/>
        </w:numPr>
        <w:spacing w:line="360" w:lineRule="auto"/>
        <w:jc w:val="both"/>
      </w:pPr>
      <w:proofErr w:type="spellStart"/>
      <w:r>
        <w:t>Jangka</w:t>
      </w:r>
      <w:proofErr w:type="spellEnd"/>
      <w:r>
        <w:t xml:space="preserve"> </w:t>
      </w:r>
      <w:proofErr w:type="spellStart"/>
      <w:r>
        <w:t>waktu</w:t>
      </w:r>
      <w:proofErr w:type="spellEnd"/>
      <w:r>
        <w:t xml:space="preserve"> </w:t>
      </w:r>
      <w:proofErr w:type="spellStart"/>
      <w:r>
        <w:t>pemakaiannya</w:t>
      </w:r>
      <w:proofErr w:type="spellEnd"/>
      <w:r>
        <w:t xml:space="preserve"> lama (</w:t>
      </w:r>
      <w:proofErr w:type="spellStart"/>
      <w:r>
        <w:t>lebih</w:t>
      </w:r>
      <w:proofErr w:type="spellEnd"/>
      <w:r>
        <w:t xml:space="preserve"> </w:t>
      </w:r>
      <w:proofErr w:type="spellStart"/>
      <w:r>
        <w:t>dari</w:t>
      </w:r>
      <w:proofErr w:type="spellEnd"/>
      <w:r>
        <w:t xml:space="preserve"> 1 </w:t>
      </w:r>
      <w:proofErr w:type="spellStart"/>
      <w:r>
        <w:t>tahun</w:t>
      </w:r>
      <w:proofErr w:type="spellEnd"/>
      <w:r>
        <w:t>).</w:t>
      </w:r>
    </w:p>
    <w:p w:rsidR="009531BD" w:rsidRDefault="009531BD" w:rsidP="009531BD">
      <w:pPr>
        <w:numPr>
          <w:ilvl w:val="0"/>
          <w:numId w:val="4"/>
        </w:numPr>
        <w:spacing w:line="360" w:lineRule="auto"/>
        <w:jc w:val="both"/>
      </w:pPr>
      <w:proofErr w:type="spellStart"/>
      <w:r>
        <w:t>Tidak</w:t>
      </w:r>
      <w:proofErr w:type="spellEnd"/>
      <w:r>
        <w:t xml:space="preserve"> </w:t>
      </w:r>
      <w:proofErr w:type="spellStart"/>
      <w:r>
        <w:t>dimaksudkan</w:t>
      </w:r>
      <w:proofErr w:type="spellEnd"/>
      <w:r>
        <w:t xml:space="preserve"> </w:t>
      </w:r>
      <w:proofErr w:type="spellStart"/>
      <w:r>
        <w:t>untuk</w:t>
      </w:r>
      <w:proofErr w:type="spellEnd"/>
      <w:r>
        <w:t xml:space="preserve"> </w:t>
      </w:r>
      <w:proofErr w:type="spellStart"/>
      <w:r>
        <w:t>dijual</w:t>
      </w:r>
      <w:proofErr w:type="spellEnd"/>
      <w:r>
        <w:t xml:space="preserve"> </w:t>
      </w:r>
      <w:proofErr w:type="spellStart"/>
      <w:r>
        <w:t>kembali</w:t>
      </w:r>
      <w:proofErr w:type="spellEnd"/>
      <w:r>
        <w:t xml:space="preserve"> </w:t>
      </w:r>
      <w:proofErr w:type="spellStart"/>
      <w:r>
        <w:t>dalam</w:t>
      </w:r>
      <w:proofErr w:type="spellEnd"/>
      <w:r>
        <w:t xml:space="preserve"> </w:t>
      </w:r>
      <w:proofErr w:type="spellStart"/>
      <w:r>
        <w:t>kegiatan</w:t>
      </w:r>
      <w:proofErr w:type="spellEnd"/>
      <w:r>
        <w:t xml:space="preserve"> normal </w:t>
      </w:r>
      <w:proofErr w:type="spellStart"/>
      <w:r>
        <w:t>perusahaan</w:t>
      </w:r>
      <w:proofErr w:type="spellEnd"/>
      <w:r>
        <w:t>.</w:t>
      </w:r>
    </w:p>
    <w:p w:rsidR="009531BD" w:rsidRDefault="009531BD" w:rsidP="009531BD">
      <w:pPr>
        <w:numPr>
          <w:ilvl w:val="0"/>
          <w:numId w:val="4"/>
        </w:numPr>
        <w:spacing w:line="360" w:lineRule="auto"/>
        <w:jc w:val="both"/>
      </w:pPr>
      <w:proofErr w:type="spellStart"/>
      <w:r>
        <w:t>Nilainya</w:t>
      </w:r>
      <w:proofErr w:type="spellEnd"/>
      <w:r>
        <w:t xml:space="preserve"> </w:t>
      </w:r>
      <w:proofErr w:type="spellStart"/>
      <w:r>
        <w:t>cukup</w:t>
      </w:r>
      <w:proofErr w:type="spellEnd"/>
      <w:r>
        <w:t xml:space="preserve"> </w:t>
      </w:r>
      <w:proofErr w:type="spellStart"/>
      <w:r>
        <w:t>tinggi</w:t>
      </w:r>
      <w:proofErr w:type="spellEnd"/>
      <w:r>
        <w:t>.</w:t>
      </w:r>
    </w:p>
    <w:p w:rsidR="009531BD" w:rsidRDefault="009531BD" w:rsidP="009531BD">
      <w:pPr>
        <w:numPr>
          <w:ilvl w:val="0"/>
          <w:numId w:val="4"/>
        </w:numPr>
        <w:spacing w:line="360" w:lineRule="auto"/>
        <w:jc w:val="both"/>
      </w:pPr>
      <w:proofErr w:type="spellStart"/>
      <w:r>
        <w:t>Penurunan</w:t>
      </w:r>
      <w:proofErr w:type="spellEnd"/>
      <w:r>
        <w:t xml:space="preserve"> </w:t>
      </w:r>
      <w:proofErr w:type="spellStart"/>
      <w:r>
        <w:t>manfaat</w:t>
      </w:r>
      <w:proofErr w:type="spellEnd"/>
      <w:r>
        <w:t xml:space="preserve"> (</w:t>
      </w:r>
      <w:proofErr w:type="spellStart"/>
      <w:r>
        <w:t>penurunan</w:t>
      </w:r>
      <w:proofErr w:type="spellEnd"/>
      <w:r>
        <w:t xml:space="preserve"> </w:t>
      </w:r>
      <w:proofErr w:type="spellStart"/>
      <w:r>
        <w:t>dari</w:t>
      </w:r>
      <w:proofErr w:type="spellEnd"/>
      <w:r>
        <w:t xml:space="preserve"> </w:t>
      </w:r>
      <w:proofErr w:type="spellStart"/>
      <w:r>
        <w:t>nilai</w:t>
      </w:r>
      <w:proofErr w:type="spellEnd"/>
      <w:r>
        <w:t xml:space="preserve"> </w:t>
      </w:r>
      <w:proofErr w:type="spellStart"/>
      <w:r>
        <w:t>aktiva</w:t>
      </w:r>
      <w:proofErr w:type="spellEnd"/>
      <w:r>
        <w:t xml:space="preserve"> </w:t>
      </w:r>
      <w:proofErr w:type="spellStart"/>
      <w:proofErr w:type="gramStart"/>
      <w:r>
        <w:t>tetap</w:t>
      </w:r>
      <w:proofErr w:type="spellEnd"/>
      <w:r>
        <w:t xml:space="preserve">)  </w:t>
      </w:r>
      <w:proofErr w:type="spellStart"/>
      <w:r>
        <w:t>secara</w:t>
      </w:r>
      <w:proofErr w:type="spellEnd"/>
      <w:proofErr w:type="gramEnd"/>
      <w:r>
        <w:t xml:space="preserve"> </w:t>
      </w:r>
      <w:proofErr w:type="spellStart"/>
      <w:r>
        <w:t>periodik</w:t>
      </w:r>
      <w:proofErr w:type="spellEnd"/>
      <w:r>
        <w:t xml:space="preserve"> </w:t>
      </w:r>
      <w:proofErr w:type="spellStart"/>
      <w:r>
        <w:t>disebut</w:t>
      </w:r>
      <w:proofErr w:type="spellEnd"/>
      <w:r>
        <w:t xml:space="preserve"> </w:t>
      </w:r>
      <w:r w:rsidRPr="000A74CF">
        <w:rPr>
          <w:i/>
        </w:rPr>
        <w:t>depreciation expense</w:t>
      </w:r>
      <w:r>
        <w:t xml:space="preserve"> (</w:t>
      </w:r>
      <w:proofErr w:type="spellStart"/>
      <w:r>
        <w:t>penyusutan</w:t>
      </w:r>
      <w:proofErr w:type="spellEnd"/>
      <w:r>
        <w:t>).</w:t>
      </w:r>
    </w:p>
    <w:p w:rsidR="009531BD" w:rsidRDefault="009531BD" w:rsidP="009531BD">
      <w:pPr>
        <w:numPr>
          <w:ilvl w:val="0"/>
          <w:numId w:val="4"/>
        </w:numPr>
        <w:spacing w:line="360" w:lineRule="auto"/>
        <w:jc w:val="both"/>
      </w:pPr>
      <w:proofErr w:type="spellStart"/>
      <w:r>
        <w:t>Memiliki</w:t>
      </w:r>
      <w:proofErr w:type="spellEnd"/>
      <w:r>
        <w:t xml:space="preserve"> </w:t>
      </w:r>
      <w:proofErr w:type="spellStart"/>
      <w:r>
        <w:t>umur</w:t>
      </w:r>
      <w:proofErr w:type="spellEnd"/>
      <w:r>
        <w:t xml:space="preserve"> </w:t>
      </w:r>
      <w:proofErr w:type="spellStart"/>
      <w:r>
        <w:t>ekonomis</w:t>
      </w:r>
      <w:proofErr w:type="spellEnd"/>
      <w:r>
        <w:t xml:space="preserve"> </w:t>
      </w:r>
      <w:proofErr w:type="spellStart"/>
      <w:r>
        <w:t>dan</w:t>
      </w:r>
      <w:proofErr w:type="spellEnd"/>
      <w:r>
        <w:t xml:space="preserve"> </w:t>
      </w:r>
      <w:proofErr w:type="spellStart"/>
      <w:r>
        <w:t>nilai</w:t>
      </w:r>
      <w:proofErr w:type="spellEnd"/>
      <w:r>
        <w:t xml:space="preserve"> </w:t>
      </w:r>
      <w:proofErr w:type="spellStart"/>
      <w:r>
        <w:t>residu</w:t>
      </w:r>
      <w:proofErr w:type="spellEnd"/>
      <w:r>
        <w:t>.</w:t>
      </w:r>
    </w:p>
    <w:p w:rsidR="009531BD" w:rsidRDefault="009531BD" w:rsidP="009531BD">
      <w:pPr>
        <w:numPr>
          <w:ilvl w:val="0"/>
          <w:numId w:val="4"/>
        </w:numPr>
        <w:spacing w:line="360" w:lineRule="auto"/>
        <w:jc w:val="both"/>
      </w:pPr>
      <w:proofErr w:type="spellStart"/>
      <w:r>
        <w:t>Menurut</w:t>
      </w:r>
      <w:proofErr w:type="spellEnd"/>
      <w:r>
        <w:t xml:space="preserve"> SAK, </w:t>
      </w:r>
      <w:proofErr w:type="spellStart"/>
      <w:r>
        <w:t>harga</w:t>
      </w:r>
      <w:proofErr w:type="spellEnd"/>
      <w:r>
        <w:t xml:space="preserve"> </w:t>
      </w:r>
      <w:proofErr w:type="spellStart"/>
      <w:r>
        <w:t>perolehan</w:t>
      </w:r>
      <w:proofErr w:type="spellEnd"/>
      <w:r>
        <w:t xml:space="preserve"> </w:t>
      </w:r>
      <w:proofErr w:type="spellStart"/>
      <w:r>
        <w:t>aktiva</w:t>
      </w:r>
      <w:proofErr w:type="spellEnd"/>
      <w:r>
        <w:t xml:space="preserve"> </w:t>
      </w:r>
      <w:proofErr w:type="spellStart"/>
      <w:r>
        <w:t>tetap</w:t>
      </w:r>
      <w:proofErr w:type="spellEnd"/>
      <w:r>
        <w:t xml:space="preserve"> </w:t>
      </w:r>
      <w:proofErr w:type="spellStart"/>
      <w:r>
        <w:t>dihitung</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t xml:space="preserve"> </w:t>
      </w:r>
      <w:proofErr w:type="spellStart"/>
      <w:r>
        <w:t>berapa</w:t>
      </w:r>
      <w:proofErr w:type="spellEnd"/>
      <w:r>
        <w:t xml:space="preserve"> </w:t>
      </w:r>
      <w:proofErr w:type="spellStart"/>
      <w:r>
        <w:t>jumlah</w:t>
      </w:r>
      <w:proofErr w:type="spellEnd"/>
      <w:r>
        <w:t xml:space="preserve"> </w:t>
      </w:r>
      <w:proofErr w:type="spellStart"/>
      <w:r>
        <w:t>nilai</w:t>
      </w:r>
      <w:proofErr w:type="spellEnd"/>
      <w:r>
        <w:t xml:space="preserve"> </w:t>
      </w:r>
      <w:proofErr w:type="spellStart"/>
      <w:r>
        <w:t>aktiva</w:t>
      </w:r>
      <w:proofErr w:type="spellEnd"/>
      <w:r>
        <w:t xml:space="preserve"> </w:t>
      </w:r>
      <w:proofErr w:type="spellStart"/>
      <w:r>
        <w:t>tetap</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aktiva</w:t>
      </w:r>
      <w:proofErr w:type="spellEnd"/>
      <w:r>
        <w:t xml:space="preserve"> </w:t>
      </w:r>
      <w:proofErr w:type="spellStart"/>
      <w:r>
        <w:t>tetap</w:t>
      </w:r>
      <w:proofErr w:type="spellEnd"/>
      <w:r>
        <w:t xml:space="preserve"> </w:t>
      </w:r>
      <w:proofErr w:type="spellStart"/>
      <w:r>
        <w:t>dapat</w:t>
      </w:r>
      <w:proofErr w:type="spellEnd"/>
      <w:r>
        <w:t xml:space="preserve"> </w:t>
      </w:r>
      <w:proofErr w:type="spellStart"/>
      <w:r>
        <w:t>digunakan</w:t>
      </w:r>
      <w:proofErr w:type="spellEnd"/>
      <w:r>
        <w:t>.</w:t>
      </w:r>
    </w:p>
    <w:p w:rsidR="009531BD" w:rsidRDefault="009531BD" w:rsidP="009531BD">
      <w:pPr>
        <w:spacing w:line="360" w:lineRule="auto"/>
        <w:ind w:left="720"/>
        <w:jc w:val="both"/>
      </w:pPr>
      <w:proofErr w:type="spellStart"/>
      <w:proofErr w:type="gramStart"/>
      <w:r>
        <w:t>Misal</w:t>
      </w:r>
      <w:proofErr w:type="spellEnd"/>
      <w:r>
        <w:t xml:space="preserve"> :</w:t>
      </w:r>
      <w:proofErr w:type="gramEnd"/>
      <w:r>
        <w:t xml:space="preserve">     </w:t>
      </w:r>
      <w:r>
        <w:tab/>
        <w:t>Equipment</w:t>
      </w:r>
      <w:r>
        <w:tab/>
      </w:r>
      <w:r>
        <w:tab/>
        <w:t>5.000.000,-</w:t>
      </w:r>
    </w:p>
    <w:p w:rsidR="009531BD" w:rsidRDefault="009531BD" w:rsidP="009531BD">
      <w:pPr>
        <w:spacing w:line="360" w:lineRule="auto"/>
        <w:ind w:left="720"/>
        <w:jc w:val="both"/>
      </w:pPr>
      <w:r>
        <w:tab/>
      </w:r>
      <w:r>
        <w:tab/>
        <w:t>Transportation</w:t>
      </w:r>
      <w:r>
        <w:tab/>
        <w:t xml:space="preserve"> In</w:t>
      </w:r>
      <w:r>
        <w:tab/>
      </w:r>
      <w:r>
        <w:rPr>
          <w:u w:val="single"/>
        </w:rPr>
        <w:t xml:space="preserve">   100.</w:t>
      </w:r>
      <w:proofErr w:type="gramStart"/>
      <w:r>
        <w:rPr>
          <w:u w:val="single"/>
        </w:rPr>
        <w:t>000</w:t>
      </w:r>
      <w:r>
        <w:t>,-</w:t>
      </w:r>
      <w:proofErr w:type="gramEnd"/>
    </w:p>
    <w:p w:rsidR="009531BD" w:rsidRDefault="009531BD" w:rsidP="009531BD">
      <w:pPr>
        <w:spacing w:line="360" w:lineRule="auto"/>
        <w:ind w:left="720"/>
        <w:jc w:val="both"/>
      </w:pPr>
      <w:r>
        <w:tab/>
      </w:r>
      <w:r>
        <w:tab/>
        <w:t>Cost</w:t>
      </w:r>
      <w:r>
        <w:tab/>
      </w:r>
      <w:r>
        <w:tab/>
      </w:r>
      <w:r>
        <w:tab/>
        <w:t>5.100.</w:t>
      </w:r>
      <w:proofErr w:type="gramStart"/>
      <w:r>
        <w:t>000,-</w:t>
      </w:r>
      <w:proofErr w:type="gramEnd"/>
    </w:p>
    <w:p w:rsidR="009531BD" w:rsidRDefault="009531BD" w:rsidP="009531BD">
      <w:pPr>
        <w:spacing w:line="360" w:lineRule="auto"/>
        <w:ind w:left="456"/>
        <w:jc w:val="both"/>
      </w:pPr>
    </w:p>
    <w:p w:rsidR="009531BD" w:rsidRPr="006B33C5" w:rsidRDefault="009531BD" w:rsidP="009531BD">
      <w:pPr>
        <w:spacing w:line="360" w:lineRule="auto"/>
        <w:jc w:val="both"/>
        <w:rPr>
          <w:lang w:val="sv-SE"/>
        </w:rPr>
      </w:pPr>
      <w:r w:rsidRPr="006B33C5">
        <w:rPr>
          <w:lang w:val="sv-SE"/>
        </w:rPr>
        <w:t>Aktiva tetap dapat dibagi menjadi 2 yaitu :</w:t>
      </w:r>
    </w:p>
    <w:p w:rsidR="009531BD" w:rsidRDefault="009531BD" w:rsidP="009531BD">
      <w:pPr>
        <w:numPr>
          <w:ilvl w:val="1"/>
          <w:numId w:val="2"/>
        </w:numPr>
        <w:tabs>
          <w:tab w:val="clear" w:pos="1800"/>
        </w:tabs>
        <w:spacing w:line="360" w:lineRule="auto"/>
        <w:ind w:left="567" w:hanging="141"/>
        <w:jc w:val="both"/>
      </w:pPr>
      <w:proofErr w:type="spellStart"/>
      <w:r>
        <w:t>Aktiva</w:t>
      </w:r>
      <w:proofErr w:type="spellEnd"/>
      <w:r>
        <w:t xml:space="preserve"> </w:t>
      </w:r>
      <w:proofErr w:type="spellStart"/>
      <w:r>
        <w:t>Tetap</w:t>
      </w:r>
      <w:proofErr w:type="spellEnd"/>
      <w:r>
        <w:t xml:space="preserve"> </w:t>
      </w:r>
      <w:proofErr w:type="spellStart"/>
      <w:r>
        <w:t>Berwujud</w:t>
      </w:r>
      <w:proofErr w:type="spellEnd"/>
    </w:p>
    <w:p w:rsidR="009531BD" w:rsidRPr="006B33C5" w:rsidRDefault="009531BD" w:rsidP="009531BD">
      <w:pPr>
        <w:spacing w:line="360" w:lineRule="auto"/>
        <w:ind w:left="709"/>
        <w:jc w:val="both"/>
        <w:rPr>
          <w:lang w:val="sv-SE"/>
        </w:rPr>
      </w:pPr>
      <w:r w:rsidRPr="006B33C5">
        <w:rPr>
          <w:lang w:val="sv-SE"/>
        </w:rPr>
        <w:t>Contoh : peralatan, bangunan, tanah, alat angkut, mesin dsb.</w:t>
      </w:r>
    </w:p>
    <w:p w:rsidR="009531BD" w:rsidRDefault="009531BD" w:rsidP="009531BD">
      <w:pPr>
        <w:numPr>
          <w:ilvl w:val="1"/>
          <w:numId w:val="2"/>
        </w:numPr>
        <w:tabs>
          <w:tab w:val="clear" w:pos="1800"/>
          <w:tab w:val="num" w:pos="720"/>
          <w:tab w:val="num" w:pos="1534"/>
        </w:tabs>
        <w:spacing w:line="360" w:lineRule="auto"/>
        <w:ind w:left="567" w:hanging="141"/>
        <w:jc w:val="both"/>
      </w:pPr>
      <w:proofErr w:type="spellStart"/>
      <w:r>
        <w:t>Aktiva</w:t>
      </w:r>
      <w:proofErr w:type="spellEnd"/>
      <w:r>
        <w:t xml:space="preserve"> </w:t>
      </w:r>
      <w:proofErr w:type="spellStart"/>
      <w:r>
        <w:t>Tetap</w:t>
      </w:r>
      <w:proofErr w:type="spellEnd"/>
      <w:r>
        <w:t xml:space="preserve"> </w:t>
      </w:r>
      <w:proofErr w:type="spellStart"/>
      <w:r>
        <w:t>Tidak</w:t>
      </w:r>
      <w:proofErr w:type="spellEnd"/>
      <w:r>
        <w:t xml:space="preserve"> </w:t>
      </w:r>
      <w:proofErr w:type="spellStart"/>
      <w:r>
        <w:t>Berwujud</w:t>
      </w:r>
      <w:proofErr w:type="spellEnd"/>
    </w:p>
    <w:p w:rsidR="009531BD" w:rsidRDefault="009531BD" w:rsidP="009531BD">
      <w:pPr>
        <w:spacing w:line="360" w:lineRule="auto"/>
        <w:ind w:left="567" w:firstLine="153"/>
        <w:jc w:val="both"/>
      </w:pPr>
      <w:proofErr w:type="spellStart"/>
      <w:proofErr w:type="gramStart"/>
      <w:r>
        <w:t>Contoh</w:t>
      </w:r>
      <w:proofErr w:type="spellEnd"/>
      <w:r>
        <w:t xml:space="preserve"> :</w:t>
      </w:r>
      <w:proofErr w:type="gramEnd"/>
      <w:r>
        <w:t xml:space="preserve"> </w:t>
      </w:r>
      <w:proofErr w:type="spellStart"/>
      <w:r>
        <w:t>goodwill,hak</w:t>
      </w:r>
      <w:proofErr w:type="spellEnd"/>
      <w:r>
        <w:t xml:space="preserve"> </w:t>
      </w:r>
      <w:proofErr w:type="spellStart"/>
      <w:r>
        <w:t>paten,hak</w:t>
      </w:r>
      <w:proofErr w:type="spellEnd"/>
      <w:r>
        <w:t xml:space="preserve"> </w:t>
      </w:r>
      <w:proofErr w:type="spellStart"/>
      <w:r>
        <w:t>cipta</w:t>
      </w:r>
      <w:proofErr w:type="spellEnd"/>
      <w:r>
        <w:t xml:space="preserve">, </w:t>
      </w:r>
      <w:proofErr w:type="spellStart"/>
      <w:r>
        <w:t>merk</w:t>
      </w:r>
      <w:proofErr w:type="spellEnd"/>
      <w:r>
        <w:t xml:space="preserve"> </w:t>
      </w:r>
      <w:proofErr w:type="spellStart"/>
      <w:r>
        <w:t>dagang</w:t>
      </w:r>
      <w:proofErr w:type="spellEnd"/>
      <w:r>
        <w:t xml:space="preserve"> </w:t>
      </w:r>
      <w:proofErr w:type="spellStart"/>
      <w:r>
        <w:t>dsb</w:t>
      </w:r>
      <w:proofErr w:type="spellEnd"/>
      <w:r>
        <w:t>.</w:t>
      </w:r>
    </w:p>
    <w:p w:rsidR="00CD69F6" w:rsidRDefault="00CD69F6"/>
    <w:sectPr w:rsidR="00CD6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men Bd BT">
    <w:altName w:val="Courier New"/>
    <w:charset w:val="00"/>
    <w:family w:val="decorative"/>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5E4"/>
    <w:multiLevelType w:val="hybridMultilevel"/>
    <w:tmpl w:val="6FF81C66"/>
    <w:lvl w:ilvl="0" w:tplc="0421000F">
      <w:start w:val="1"/>
      <w:numFmt w:val="decimal"/>
      <w:lvlText w:val="%1."/>
      <w:lvlJc w:val="left"/>
      <w:pPr>
        <w:tabs>
          <w:tab w:val="num" w:pos="720"/>
        </w:tabs>
        <w:ind w:left="720" w:hanging="360"/>
      </w:pPr>
      <w:rPr>
        <w:rFonts w:hint="default"/>
        <w:sz w:val="16"/>
      </w:rPr>
    </w:lvl>
    <w:lvl w:ilvl="1" w:tplc="FFFFFFFF">
      <w:start w:val="2"/>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667ADEE4">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7CB5E6D"/>
    <w:multiLevelType w:val="hybridMultilevel"/>
    <w:tmpl w:val="CB8C74EA"/>
    <w:lvl w:ilvl="0" w:tplc="9BFEC73A">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F014AD5"/>
    <w:multiLevelType w:val="hybridMultilevel"/>
    <w:tmpl w:val="2370C660"/>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6D2B522A"/>
    <w:multiLevelType w:val="hybridMultilevel"/>
    <w:tmpl w:val="1D9C5152"/>
    <w:lvl w:ilvl="0" w:tplc="24B0CD6C">
      <w:start w:val="8"/>
      <w:numFmt w:val="decimal"/>
      <w:lvlText w:val="%1"/>
      <w:lvlJc w:val="left"/>
      <w:pPr>
        <w:tabs>
          <w:tab w:val="num" w:pos="1440"/>
        </w:tabs>
        <w:ind w:left="1440" w:hanging="720"/>
      </w:pPr>
      <w:rPr>
        <w:rFonts w:hint="default"/>
      </w:rPr>
    </w:lvl>
    <w:lvl w:ilvl="1" w:tplc="34608F9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BD"/>
    <w:rsid w:val="009531BD"/>
    <w:rsid w:val="00CD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686D8-C80A-48DB-B3C6-1EBC0E9E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1BD"/>
    <w:pPr>
      <w:jc w:val="both"/>
    </w:pPr>
    <w:rPr>
      <w:szCs w:val="20"/>
    </w:rPr>
  </w:style>
  <w:style w:type="character" w:customStyle="1" w:styleId="BodyTextChar">
    <w:name w:val="Body Text Char"/>
    <w:basedOn w:val="DefaultParagraphFont"/>
    <w:link w:val="BodyText"/>
    <w:rsid w:val="009531BD"/>
    <w:rPr>
      <w:rFonts w:ascii="Times New Roman" w:eastAsia="Times New Roman" w:hAnsi="Times New Roman" w:cs="Times New Roman"/>
      <w:sz w:val="24"/>
      <w:szCs w:val="20"/>
    </w:rPr>
  </w:style>
  <w:style w:type="paragraph" w:styleId="Title">
    <w:name w:val="Title"/>
    <w:basedOn w:val="Normal"/>
    <w:link w:val="TitleChar"/>
    <w:qFormat/>
    <w:rsid w:val="009531BD"/>
    <w:pPr>
      <w:jc w:val="center"/>
    </w:pPr>
    <w:rPr>
      <w:b/>
      <w:bCs/>
      <w:sz w:val="28"/>
    </w:rPr>
  </w:style>
  <w:style w:type="character" w:customStyle="1" w:styleId="TitleChar">
    <w:name w:val="Title Char"/>
    <w:basedOn w:val="DefaultParagraphFont"/>
    <w:link w:val="Title"/>
    <w:rsid w:val="009531B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11-F004TU</dc:creator>
  <cp:keywords/>
  <dc:description/>
  <cp:lastModifiedBy>HP 11-F004TU</cp:lastModifiedBy>
  <cp:revision>1</cp:revision>
  <dcterms:created xsi:type="dcterms:W3CDTF">2020-03-29T09:51:00Z</dcterms:created>
  <dcterms:modified xsi:type="dcterms:W3CDTF">2020-03-29T09:52:00Z</dcterms:modified>
</cp:coreProperties>
</file>