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33" w:rsidRPr="00BD7336" w:rsidRDefault="00707633" w:rsidP="00707633">
      <w:pPr>
        <w:pStyle w:val="Title"/>
        <w:rPr>
          <w:rFonts w:ascii="Bremen Bd BT" w:hAnsi="Bremen Bd BT"/>
          <w:sz w:val="32"/>
          <w:lang w:val="sv-SE"/>
        </w:rPr>
      </w:pPr>
      <w:r w:rsidRPr="00BD7336">
        <w:rPr>
          <w:rFonts w:ascii="Bremen Bd BT" w:hAnsi="Bremen Bd BT"/>
          <w:sz w:val="32"/>
          <w:lang w:val="sv-SE"/>
        </w:rPr>
        <w:t xml:space="preserve">BAB </w:t>
      </w:r>
      <w:r>
        <w:rPr>
          <w:rFonts w:ascii="Bremen Bd BT" w:hAnsi="Bremen Bd BT"/>
          <w:sz w:val="32"/>
          <w:lang w:val="sv-SE"/>
        </w:rPr>
        <w:t>XIV</w:t>
      </w:r>
    </w:p>
    <w:p w:rsidR="00707633" w:rsidRPr="00BD7336" w:rsidRDefault="00707633" w:rsidP="00707633">
      <w:pPr>
        <w:pStyle w:val="Title"/>
        <w:rPr>
          <w:rFonts w:ascii="Bremen Bd BT" w:hAnsi="Bremen Bd BT"/>
          <w:sz w:val="32"/>
          <w:lang w:val="sv-SE"/>
        </w:rPr>
      </w:pPr>
      <w:r>
        <w:rPr>
          <w:rFonts w:ascii="Bremen Bd BT" w:hAnsi="Bremen Bd BT"/>
          <w:sz w:val="32"/>
          <w:lang w:val="sv-SE"/>
        </w:rPr>
        <w:t>REKONSILIASI BANK</w:t>
      </w:r>
    </w:p>
    <w:p w:rsidR="00707633" w:rsidRDefault="00707633" w:rsidP="00707633">
      <w:pPr>
        <w:pStyle w:val="BodyText"/>
        <w:spacing w:line="360" w:lineRule="auto"/>
        <w:rPr>
          <w:b/>
          <w:lang w:val="id-ID"/>
        </w:rPr>
      </w:pPr>
    </w:p>
    <w:p w:rsidR="00707633" w:rsidRPr="00D236E4" w:rsidRDefault="00707633" w:rsidP="00707633">
      <w:pPr>
        <w:pStyle w:val="BodyText"/>
        <w:numPr>
          <w:ilvl w:val="3"/>
          <w:numId w:val="4"/>
        </w:numPr>
        <w:spacing w:line="360" w:lineRule="auto"/>
        <w:ind w:left="630" w:hanging="630"/>
        <w:rPr>
          <w:rFonts w:ascii="Bradley Hand ITC" w:hAnsi="Bradley Hand ITC"/>
          <w:b/>
          <w:sz w:val="28"/>
          <w:szCs w:val="28"/>
          <w:lang w:val="id-ID"/>
        </w:rPr>
      </w:pPr>
      <w:r>
        <w:rPr>
          <w:rFonts w:ascii="Bradley Hand ITC" w:hAnsi="Bradley Hand ITC"/>
          <w:b/>
          <w:sz w:val="28"/>
          <w:szCs w:val="28"/>
        </w:rPr>
        <w:t>PENGERTIAN REKONSILIASI BANK</w:t>
      </w:r>
    </w:p>
    <w:p w:rsidR="00707633" w:rsidRPr="00A341BE" w:rsidRDefault="00707633" w:rsidP="00707633">
      <w:pPr>
        <w:pStyle w:val="BodyText"/>
        <w:spacing w:line="360" w:lineRule="auto"/>
        <w:rPr>
          <w:lang w:val="id-ID"/>
        </w:rPr>
      </w:pPr>
      <w:proofErr w:type="spellStart"/>
      <w:r>
        <w:t>Menurut</w:t>
      </w:r>
      <w:proofErr w:type="spellEnd"/>
      <w:r>
        <w:t xml:space="preserve"> </w:t>
      </w:r>
      <w:r>
        <w:rPr>
          <w:lang w:val="id-ID"/>
        </w:rPr>
        <w:t>Kieso, 2012:</w:t>
      </w:r>
      <w:proofErr w:type="gramStart"/>
      <w:r>
        <w:rPr>
          <w:lang w:val="id-ID"/>
        </w:rPr>
        <w:t>324 :</w:t>
      </w:r>
      <w:proofErr w:type="gramEnd"/>
    </w:p>
    <w:p w:rsidR="00707633" w:rsidRPr="00A341BE" w:rsidRDefault="00707633" w:rsidP="00707633">
      <w:pPr>
        <w:pStyle w:val="BodyText"/>
        <w:spacing w:line="360" w:lineRule="auto"/>
        <w:rPr>
          <w:lang w:val="id-ID"/>
        </w:rPr>
      </w:pPr>
      <w:r>
        <w:rPr>
          <w:i/>
        </w:rPr>
        <w:t>“</w:t>
      </w:r>
      <w:r>
        <w:rPr>
          <w:i/>
          <w:lang w:val="id-ID"/>
        </w:rPr>
        <w:t>The bank Reconciliation should be prepared by an employee who has no other responsibilities pertaining to cash”</w:t>
      </w:r>
    </w:p>
    <w:p w:rsidR="00707633" w:rsidRPr="00CE47DB" w:rsidRDefault="00707633" w:rsidP="00707633">
      <w:pPr>
        <w:pStyle w:val="BodyText"/>
        <w:spacing w:line="360" w:lineRule="auto"/>
        <w:rPr>
          <w:lang w:val="it-IT"/>
        </w:rPr>
      </w:pPr>
      <w:r w:rsidRPr="00CE47DB">
        <w:rPr>
          <w:i/>
          <w:lang w:val="it-IT"/>
        </w:rPr>
        <w:t>Bank Reconciliation</w:t>
      </w:r>
      <w:r w:rsidRPr="00CE47DB">
        <w:rPr>
          <w:lang w:val="it-IT"/>
        </w:rPr>
        <w:t xml:space="preserve"> yaitu membuat suatu analisis hal-hal yang menimbulkan perbedaan antara catatan perusahaan mengenai simpanannya di bank dengan catatan yang disajikan oleh petugas bank. Bank rekonsiliasi menganalisa sebab-sebab terjadinya perbedaan antara saldo catatan perusahaan dengan saldo catatan bank pada akhir bulan dalam rangka hubungan rekening koran ( R/C) antara perusahaan dengan bank. Rekonsiliasi selalu disusun setiap bulan sehingga dalam satu tahun terdapat 12 kali  rekonsiliasi bank</w:t>
      </w:r>
    </w:p>
    <w:p w:rsidR="00707633" w:rsidRPr="00CE47DB" w:rsidRDefault="00707633" w:rsidP="00707633">
      <w:pPr>
        <w:pStyle w:val="BodyText"/>
        <w:spacing w:line="360" w:lineRule="auto"/>
        <w:rPr>
          <w:lang w:val="fi-FI"/>
        </w:rPr>
      </w:pPr>
      <w:r w:rsidRPr="00CE47DB">
        <w:rPr>
          <w:lang w:val="fi-FI"/>
        </w:rPr>
        <w:t>Penyebab perbedaan-perbedaan ini antara lain :</w:t>
      </w:r>
    </w:p>
    <w:p w:rsidR="00707633" w:rsidRPr="00CE47DB" w:rsidRDefault="00707633" w:rsidP="00707633">
      <w:pPr>
        <w:pStyle w:val="BodyText"/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lang w:val="fi-FI"/>
        </w:rPr>
      </w:pPr>
      <w:r w:rsidRPr="00CE47DB">
        <w:rPr>
          <w:lang w:val="fi-FI"/>
        </w:rPr>
        <w:t>Bank telah memberikan bunga atas simpanan perusahaan serta membebani perusahaan dengan beban-beban atas jasa bank, tetapi mengenai perhitungan serta perbedaan ini belum dilaporkan kepada perusahaan. Perhitungan ini terlihat dalam perkiraan Koran yang akan diterima pada awal periode berikutnya.</w:t>
      </w:r>
    </w:p>
    <w:p w:rsidR="00707633" w:rsidRPr="00CE47DB" w:rsidRDefault="00707633" w:rsidP="00707633">
      <w:pPr>
        <w:pStyle w:val="BodyText"/>
        <w:numPr>
          <w:ilvl w:val="0"/>
          <w:numId w:val="1"/>
        </w:numPr>
        <w:tabs>
          <w:tab w:val="clear" w:pos="720"/>
          <w:tab w:val="num" w:pos="540"/>
          <w:tab w:val="num" w:pos="1080"/>
        </w:tabs>
        <w:spacing w:line="360" w:lineRule="auto"/>
        <w:ind w:left="540" w:hanging="540"/>
        <w:rPr>
          <w:lang w:val="fi-FI"/>
        </w:rPr>
      </w:pPr>
      <w:r w:rsidRPr="00CE47DB">
        <w:rPr>
          <w:lang w:val="fi-FI"/>
        </w:rPr>
        <w:t xml:space="preserve">Perusahaan telah menerima bukti pengiriman dari langganannya, tetapi mengenai pengiriman tersebut belum terdapat di dalam catatan bank. Kiriman yang belum terdapat di catatan bank disebut </w:t>
      </w:r>
      <w:r w:rsidRPr="00CE47DB">
        <w:rPr>
          <w:i/>
          <w:lang w:val="fi-FI"/>
        </w:rPr>
        <w:t>Deposit In Transi</w:t>
      </w:r>
      <w:r w:rsidRPr="00CE47DB">
        <w:rPr>
          <w:lang w:val="fi-FI"/>
        </w:rPr>
        <w:t>t ( Setoran Dalam Perjalanan )</w:t>
      </w:r>
    </w:p>
    <w:p w:rsidR="00707633" w:rsidRPr="00CE47DB" w:rsidRDefault="00707633" w:rsidP="00707633">
      <w:pPr>
        <w:pStyle w:val="BodyText"/>
        <w:numPr>
          <w:ilvl w:val="0"/>
          <w:numId w:val="1"/>
        </w:numPr>
        <w:tabs>
          <w:tab w:val="clear" w:pos="720"/>
          <w:tab w:val="num" w:pos="540"/>
          <w:tab w:val="num" w:pos="1080"/>
        </w:tabs>
        <w:spacing w:line="360" w:lineRule="auto"/>
        <w:ind w:left="540" w:hanging="540"/>
        <w:rPr>
          <w:lang w:val="fi-FI"/>
        </w:rPr>
      </w:pPr>
      <w:r w:rsidRPr="00CE47DB">
        <w:rPr>
          <w:lang w:val="fi-FI"/>
        </w:rPr>
        <w:t>Bank telah berhasil memperoleh kiriman langganan perusahaan, atau penagihan piutang perusahaan, tetapi mengenai hal ini belum dilaporkan ke perusahaan.</w:t>
      </w:r>
    </w:p>
    <w:p w:rsidR="00707633" w:rsidRPr="00CE47DB" w:rsidRDefault="00707633" w:rsidP="00707633">
      <w:pPr>
        <w:pStyle w:val="BodyText"/>
        <w:numPr>
          <w:ilvl w:val="0"/>
          <w:numId w:val="1"/>
        </w:numPr>
        <w:tabs>
          <w:tab w:val="clear" w:pos="720"/>
          <w:tab w:val="num" w:pos="540"/>
          <w:tab w:val="num" w:pos="1080"/>
        </w:tabs>
        <w:spacing w:line="360" w:lineRule="auto"/>
        <w:ind w:left="540" w:hanging="540"/>
        <w:rPr>
          <w:lang w:val="fi-FI"/>
        </w:rPr>
      </w:pPr>
      <w:r w:rsidRPr="00CE47DB">
        <w:rPr>
          <w:lang w:val="fi-FI"/>
        </w:rPr>
        <w:t>Perusahaan telah meminta kepada bank untuk melakukan pembayaran kepada kreditur perusahaan. Bank telah melaksanakan peembayaran tersebut, tetapi mengenai ini belum dilaporkan ke perusahaan.</w:t>
      </w:r>
    </w:p>
    <w:p w:rsidR="00707633" w:rsidRPr="00CE47DB" w:rsidRDefault="00707633" w:rsidP="00707633">
      <w:pPr>
        <w:pStyle w:val="BodyText"/>
        <w:numPr>
          <w:ilvl w:val="0"/>
          <w:numId w:val="1"/>
        </w:numPr>
        <w:tabs>
          <w:tab w:val="clear" w:pos="720"/>
          <w:tab w:val="num" w:pos="540"/>
          <w:tab w:val="num" w:pos="1080"/>
        </w:tabs>
        <w:spacing w:line="360" w:lineRule="auto"/>
        <w:ind w:left="540" w:hanging="540"/>
        <w:rPr>
          <w:lang w:val="fi-FI"/>
        </w:rPr>
      </w:pPr>
      <w:r w:rsidRPr="00CE47DB">
        <w:rPr>
          <w:lang w:val="fi-FI"/>
        </w:rPr>
        <w:t xml:space="preserve">Perusahaan telah mengeluarkan check untuk pelunasan atau pembayaran, tetapi dikarenakan check tersebut belum diuangkan oeh pemegangnya sehingga jumlah ini belum tercantum didalam catatan bank </w:t>
      </w:r>
      <w:r w:rsidRPr="00CE47DB">
        <w:rPr>
          <w:i/>
          <w:lang w:val="fi-FI"/>
        </w:rPr>
        <w:t>(Out Standing check)—Check yang beredar.</w:t>
      </w:r>
    </w:p>
    <w:p w:rsidR="00707633" w:rsidRDefault="00707633" w:rsidP="00707633">
      <w:pPr>
        <w:pStyle w:val="BodyText"/>
        <w:numPr>
          <w:ilvl w:val="0"/>
          <w:numId w:val="1"/>
        </w:numPr>
        <w:tabs>
          <w:tab w:val="clear" w:pos="720"/>
          <w:tab w:val="num" w:pos="540"/>
          <w:tab w:val="num" w:pos="1080"/>
        </w:tabs>
        <w:spacing w:line="360" w:lineRule="auto"/>
        <w:ind w:left="540" w:hanging="540"/>
      </w:pPr>
      <w:r w:rsidRPr="00CE47DB">
        <w:rPr>
          <w:lang w:val="fi-FI"/>
        </w:rPr>
        <w:t xml:space="preserve">Perusahaan telah menerima check dari langganannya dan dikirimkan ke bank untuk menambah simpanannya, ternyata ceck tersebut tidak dibukukan ( ditolak oleh bank dengan </w:t>
      </w:r>
      <w:r w:rsidRPr="00CE47DB">
        <w:rPr>
          <w:lang w:val="fi-FI"/>
        </w:rPr>
        <w:lastRenderedPageBreak/>
        <w:t xml:space="preserve">alasan check kosong </w:t>
      </w:r>
      <w:r w:rsidRPr="00CE47DB">
        <w:rPr>
          <w:i/>
          <w:lang w:val="fi-FI"/>
        </w:rPr>
        <w:t>( non suffecience fund</w:t>
      </w:r>
      <w:r w:rsidRPr="00CE47DB">
        <w:rPr>
          <w:lang w:val="fi-FI"/>
        </w:rPr>
        <w:t xml:space="preserve"> ).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penolakan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707633" w:rsidRDefault="00707633" w:rsidP="00707633">
      <w:pPr>
        <w:pStyle w:val="BodyText"/>
        <w:numPr>
          <w:ilvl w:val="0"/>
          <w:numId w:val="1"/>
        </w:numPr>
        <w:tabs>
          <w:tab w:val="clear" w:pos="720"/>
          <w:tab w:val="num" w:pos="540"/>
          <w:tab w:val="num" w:pos="1080"/>
        </w:tabs>
        <w:spacing w:line="360" w:lineRule="auto"/>
        <w:ind w:left="540" w:hanging="540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di bank.</w:t>
      </w:r>
    </w:p>
    <w:p w:rsidR="00707633" w:rsidRDefault="00707633" w:rsidP="00707633">
      <w:pPr>
        <w:pStyle w:val="BodyText"/>
        <w:numPr>
          <w:ilvl w:val="0"/>
          <w:numId w:val="1"/>
        </w:numPr>
        <w:tabs>
          <w:tab w:val="clear" w:pos="720"/>
          <w:tab w:val="num" w:pos="540"/>
          <w:tab w:val="num" w:pos="1080"/>
        </w:tabs>
        <w:spacing w:line="360" w:lineRule="auto"/>
        <w:ind w:left="540" w:hanging="540"/>
      </w:pPr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>.</w:t>
      </w:r>
    </w:p>
    <w:p w:rsidR="00707633" w:rsidRDefault="00707633" w:rsidP="00707633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202"/>
        <w:gridCol w:w="3516"/>
      </w:tblGrid>
      <w:tr w:rsidR="00707633" w:rsidTr="00DB37F3">
        <w:trPr>
          <w:jc w:val="center"/>
        </w:trPr>
        <w:tc>
          <w:tcPr>
            <w:tcW w:w="2261" w:type="dxa"/>
          </w:tcPr>
          <w:p w:rsidR="00707633" w:rsidRDefault="00707633" w:rsidP="00DB37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Perusahaan</w:t>
            </w:r>
          </w:p>
        </w:tc>
        <w:tc>
          <w:tcPr>
            <w:tcW w:w="2202" w:type="dxa"/>
          </w:tcPr>
          <w:p w:rsidR="00707633" w:rsidRDefault="00707633" w:rsidP="00DB37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3516" w:type="dxa"/>
          </w:tcPr>
          <w:p w:rsidR="00707633" w:rsidRDefault="00707633" w:rsidP="00DB37F3">
            <w:pPr>
              <w:pStyle w:val="Body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707633" w:rsidTr="00DB37F3">
        <w:trPr>
          <w:jc w:val="center"/>
        </w:trPr>
        <w:tc>
          <w:tcPr>
            <w:tcW w:w="2261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Sudah</w:t>
            </w:r>
            <w:proofErr w:type="spellEnd"/>
          </w:p>
        </w:tc>
        <w:tc>
          <w:tcPr>
            <w:tcW w:w="2202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Belum</w:t>
            </w:r>
            <w:proofErr w:type="spellEnd"/>
          </w:p>
        </w:tc>
        <w:tc>
          <w:tcPr>
            <w:tcW w:w="3516" w:type="dxa"/>
          </w:tcPr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 xml:space="preserve">Deposit </w:t>
            </w:r>
            <w:proofErr w:type="gramStart"/>
            <w:r w:rsidRPr="00F27BD0">
              <w:rPr>
                <w:sz w:val="22"/>
                <w:szCs w:val="22"/>
              </w:rPr>
              <w:t>In</w:t>
            </w:r>
            <w:proofErr w:type="gramEnd"/>
            <w:r w:rsidRPr="00F27BD0">
              <w:rPr>
                <w:sz w:val="22"/>
                <w:szCs w:val="22"/>
              </w:rPr>
              <w:t xml:space="preserve"> Transit</w:t>
            </w:r>
          </w:p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>Outstanding Check</w:t>
            </w:r>
          </w:p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Non Sufficient</w:t>
            </w:r>
            <w:proofErr w:type="spellEnd"/>
            <w:r w:rsidRPr="00F27BD0">
              <w:rPr>
                <w:sz w:val="22"/>
                <w:szCs w:val="22"/>
              </w:rPr>
              <w:t xml:space="preserve"> Fund</w:t>
            </w:r>
          </w:p>
        </w:tc>
      </w:tr>
      <w:tr w:rsidR="00707633" w:rsidTr="00DB37F3">
        <w:trPr>
          <w:jc w:val="center"/>
        </w:trPr>
        <w:tc>
          <w:tcPr>
            <w:tcW w:w="2261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Belum</w:t>
            </w:r>
            <w:proofErr w:type="spellEnd"/>
          </w:p>
        </w:tc>
        <w:tc>
          <w:tcPr>
            <w:tcW w:w="2202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Sudah</w:t>
            </w:r>
            <w:proofErr w:type="spellEnd"/>
          </w:p>
        </w:tc>
        <w:tc>
          <w:tcPr>
            <w:tcW w:w="3516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Biaya</w:t>
            </w:r>
            <w:proofErr w:type="spellEnd"/>
            <w:r w:rsidRPr="00F27BD0">
              <w:rPr>
                <w:sz w:val="22"/>
                <w:szCs w:val="22"/>
              </w:rPr>
              <w:t xml:space="preserve"> Bank</w:t>
            </w:r>
          </w:p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Jasa</w:t>
            </w:r>
            <w:proofErr w:type="spellEnd"/>
            <w:r w:rsidRPr="00F27BD0">
              <w:rPr>
                <w:sz w:val="22"/>
                <w:szCs w:val="22"/>
              </w:rPr>
              <w:t xml:space="preserve"> Giro</w:t>
            </w:r>
          </w:p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Penerimaan</w:t>
            </w:r>
            <w:proofErr w:type="spellEnd"/>
            <w:r w:rsidRPr="00F27BD0">
              <w:rPr>
                <w:sz w:val="22"/>
                <w:szCs w:val="22"/>
              </w:rPr>
              <w:t>/</w:t>
            </w:r>
            <w:proofErr w:type="spellStart"/>
            <w:r w:rsidRPr="00F27BD0">
              <w:rPr>
                <w:sz w:val="22"/>
                <w:szCs w:val="22"/>
              </w:rPr>
              <w:t>Pengeluaran</w:t>
            </w:r>
            <w:proofErr w:type="spellEnd"/>
            <w:r w:rsidRPr="00F27BD0">
              <w:rPr>
                <w:sz w:val="22"/>
                <w:szCs w:val="22"/>
              </w:rPr>
              <w:t xml:space="preserve"> Via Bank</w:t>
            </w:r>
          </w:p>
        </w:tc>
      </w:tr>
      <w:tr w:rsidR="00707633" w:rsidTr="00DB37F3">
        <w:trPr>
          <w:jc w:val="center"/>
        </w:trPr>
        <w:tc>
          <w:tcPr>
            <w:tcW w:w="2261" w:type="dxa"/>
            <w:tcBorders>
              <w:bottom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>Salah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Angka</w:t>
            </w:r>
            <w:proofErr w:type="spellEnd"/>
          </w:p>
        </w:tc>
      </w:tr>
      <w:tr w:rsidR="00707633" w:rsidTr="00DB37F3">
        <w:trPr>
          <w:jc w:val="center"/>
        </w:trPr>
        <w:tc>
          <w:tcPr>
            <w:tcW w:w="2261" w:type="dxa"/>
            <w:tcBorders>
              <w:bottom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>Salah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Angka</w:t>
            </w:r>
            <w:proofErr w:type="spellEnd"/>
          </w:p>
        </w:tc>
      </w:tr>
      <w:tr w:rsidR="00707633" w:rsidTr="00DB37F3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  <w:rPr>
                <w:b/>
              </w:rPr>
            </w:pPr>
            <w:proofErr w:type="spellStart"/>
            <w:r w:rsidRPr="00F27BD0">
              <w:rPr>
                <w:b/>
                <w:sz w:val="22"/>
                <w:szCs w:val="22"/>
              </w:rPr>
              <w:t>Setoran</w:t>
            </w:r>
            <w:proofErr w:type="spellEnd"/>
            <w:r w:rsidRPr="00F27BD0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  <w:rPr>
                <w:b/>
              </w:rPr>
            </w:pPr>
            <w:proofErr w:type="spellStart"/>
            <w:r w:rsidRPr="00F27BD0">
              <w:rPr>
                <w:b/>
                <w:sz w:val="22"/>
                <w:szCs w:val="22"/>
              </w:rPr>
              <w:t>Ambilan</w:t>
            </w:r>
            <w:proofErr w:type="spellEnd"/>
            <w:r w:rsidRPr="00F27BD0">
              <w:rPr>
                <w:b/>
                <w:sz w:val="22"/>
                <w:szCs w:val="22"/>
              </w:rPr>
              <w:t xml:space="preserve"> (-)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707633" w:rsidRPr="00F27BD0" w:rsidRDefault="00707633" w:rsidP="00DB37F3">
            <w:pPr>
              <w:pStyle w:val="BodyText"/>
              <w:jc w:val="center"/>
              <w:rPr>
                <w:b/>
              </w:rPr>
            </w:pPr>
          </w:p>
        </w:tc>
      </w:tr>
      <w:tr w:rsidR="00707633" w:rsidTr="00DB37F3">
        <w:trPr>
          <w:jc w:val="center"/>
        </w:trPr>
        <w:tc>
          <w:tcPr>
            <w:tcW w:w="2261" w:type="dxa"/>
          </w:tcPr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>Deposit In Transit</w:t>
            </w:r>
          </w:p>
        </w:tc>
        <w:tc>
          <w:tcPr>
            <w:tcW w:w="2202" w:type="dxa"/>
          </w:tcPr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>Outstanding Check</w:t>
            </w:r>
          </w:p>
        </w:tc>
        <w:tc>
          <w:tcPr>
            <w:tcW w:w="3516" w:type="dxa"/>
          </w:tcPr>
          <w:p w:rsidR="00707633" w:rsidRPr="00F27BD0" w:rsidRDefault="00707633" w:rsidP="00DB37F3">
            <w:pPr>
              <w:pStyle w:val="BodyText"/>
              <w:jc w:val="center"/>
            </w:pPr>
          </w:p>
        </w:tc>
      </w:tr>
      <w:tr w:rsidR="00707633" w:rsidTr="00DB37F3">
        <w:trPr>
          <w:jc w:val="center"/>
        </w:trPr>
        <w:tc>
          <w:tcPr>
            <w:tcW w:w="2261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Jasa</w:t>
            </w:r>
            <w:proofErr w:type="spellEnd"/>
            <w:r w:rsidRPr="00F27BD0">
              <w:rPr>
                <w:sz w:val="22"/>
                <w:szCs w:val="22"/>
              </w:rPr>
              <w:t xml:space="preserve"> Giro</w:t>
            </w:r>
          </w:p>
        </w:tc>
        <w:tc>
          <w:tcPr>
            <w:tcW w:w="2202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Non Sufficient</w:t>
            </w:r>
            <w:proofErr w:type="spellEnd"/>
            <w:r w:rsidRPr="00F27BD0">
              <w:rPr>
                <w:sz w:val="22"/>
                <w:szCs w:val="22"/>
              </w:rPr>
              <w:t xml:space="preserve"> Fund</w:t>
            </w:r>
          </w:p>
        </w:tc>
        <w:tc>
          <w:tcPr>
            <w:tcW w:w="3516" w:type="dxa"/>
          </w:tcPr>
          <w:p w:rsidR="00707633" w:rsidRPr="00F27BD0" w:rsidRDefault="00707633" w:rsidP="00DB37F3">
            <w:pPr>
              <w:pStyle w:val="BodyText"/>
              <w:jc w:val="center"/>
            </w:pPr>
          </w:p>
        </w:tc>
      </w:tr>
      <w:tr w:rsidR="00707633" w:rsidTr="00DB37F3">
        <w:trPr>
          <w:jc w:val="center"/>
        </w:trPr>
        <w:tc>
          <w:tcPr>
            <w:tcW w:w="2261" w:type="dxa"/>
          </w:tcPr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>Notes Receivable</w:t>
            </w:r>
          </w:p>
        </w:tc>
        <w:tc>
          <w:tcPr>
            <w:tcW w:w="2202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Biaya</w:t>
            </w:r>
            <w:proofErr w:type="spellEnd"/>
            <w:r w:rsidRPr="00F27BD0">
              <w:rPr>
                <w:sz w:val="22"/>
                <w:szCs w:val="22"/>
              </w:rPr>
              <w:t xml:space="preserve">  Bank</w:t>
            </w:r>
          </w:p>
        </w:tc>
        <w:tc>
          <w:tcPr>
            <w:tcW w:w="3516" w:type="dxa"/>
          </w:tcPr>
          <w:p w:rsidR="00707633" w:rsidRPr="00F27BD0" w:rsidRDefault="00707633" w:rsidP="00DB37F3">
            <w:pPr>
              <w:pStyle w:val="BodyText"/>
              <w:jc w:val="center"/>
            </w:pPr>
          </w:p>
        </w:tc>
      </w:tr>
      <w:tr w:rsidR="00707633" w:rsidTr="00DB37F3">
        <w:trPr>
          <w:jc w:val="center"/>
        </w:trPr>
        <w:tc>
          <w:tcPr>
            <w:tcW w:w="2261" w:type="dxa"/>
          </w:tcPr>
          <w:p w:rsidR="00707633" w:rsidRPr="00F27BD0" w:rsidRDefault="00707633" w:rsidP="00DB37F3">
            <w:pPr>
              <w:pStyle w:val="BodyText"/>
              <w:jc w:val="center"/>
            </w:pPr>
            <w:proofErr w:type="spellStart"/>
            <w:r w:rsidRPr="00F27BD0">
              <w:rPr>
                <w:sz w:val="22"/>
                <w:szCs w:val="22"/>
              </w:rPr>
              <w:t>Inkaso</w:t>
            </w:r>
            <w:proofErr w:type="spellEnd"/>
          </w:p>
        </w:tc>
        <w:tc>
          <w:tcPr>
            <w:tcW w:w="2202" w:type="dxa"/>
          </w:tcPr>
          <w:p w:rsidR="00707633" w:rsidRPr="00F27BD0" w:rsidRDefault="00707633" w:rsidP="00DB37F3">
            <w:pPr>
              <w:pStyle w:val="BodyText"/>
              <w:jc w:val="center"/>
            </w:pPr>
            <w:r w:rsidRPr="00F27BD0">
              <w:rPr>
                <w:sz w:val="22"/>
                <w:szCs w:val="22"/>
              </w:rPr>
              <w:t>Transfer</w:t>
            </w:r>
          </w:p>
        </w:tc>
        <w:tc>
          <w:tcPr>
            <w:tcW w:w="3516" w:type="dxa"/>
          </w:tcPr>
          <w:p w:rsidR="00707633" w:rsidRPr="00F27BD0" w:rsidRDefault="00707633" w:rsidP="00DB37F3">
            <w:pPr>
              <w:pStyle w:val="BodyText"/>
              <w:jc w:val="center"/>
            </w:pPr>
          </w:p>
        </w:tc>
      </w:tr>
    </w:tbl>
    <w:p w:rsidR="00707633" w:rsidRDefault="00707633" w:rsidP="00707633">
      <w:pPr>
        <w:pStyle w:val="BodyText"/>
      </w:pPr>
    </w:p>
    <w:p w:rsidR="00707633" w:rsidRDefault="00707633" w:rsidP="00707633">
      <w:pPr>
        <w:pStyle w:val="BodyText"/>
        <w:rPr>
          <w:b/>
        </w:rPr>
      </w:pPr>
    </w:p>
    <w:p w:rsidR="00707633" w:rsidRPr="002E11F3" w:rsidRDefault="00707633" w:rsidP="00707633">
      <w:pPr>
        <w:pStyle w:val="BodyText"/>
        <w:numPr>
          <w:ilvl w:val="3"/>
          <w:numId w:val="4"/>
        </w:numPr>
        <w:ind w:left="630" w:hanging="630"/>
        <w:rPr>
          <w:rFonts w:ascii="Bradley Hand ITC" w:hAnsi="Bradley Hand ITC"/>
          <w:b/>
          <w:sz w:val="28"/>
          <w:szCs w:val="28"/>
          <w:lang w:val="id-ID"/>
        </w:rPr>
      </w:pPr>
      <w:r>
        <w:rPr>
          <w:rFonts w:ascii="Bradley Hand ITC" w:hAnsi="Bradley Hand ITC"/>
          <w:b/>
          <w:sz w:val="28"/>
          <w:szCs w:val="28"/>
        </w:rPr>
        <w:t>PENYAJIAN REKONSILIASI BANK</w:t>
      </w:r>
    </w:p>
    <w:p w:rsidR="00707633" w:rsidRDefault="00707633" w:rsidP="00707633">
      <w:pPr>
        <w:pStyle w:val="BodyText"/>
      </w:pPr>
    </w:p>
    <w:p w:rsidR="00707633" w:rsidRPr="0025140E" w:rsidRDefault="00707633" w:rsidP="00707633">
      <w:pPr>
        <w:pStyle w:val="BodyText"/>
        <w:spacing w:line="360" w:lineRule="auto"/>
        <w:rPr>
          <w:lang w:val="sv-SE"/>
        </w:rPr>
      </w:pPr>
      <w:r w:rsidRPr="0025140E">
        <w:rPr>
          <w:lang w:val="sv-SE"/>
        </w:rPr>
        <w:t>Bank rekonsiliasi dapat disajikan dengn dua cara, yaitu :</w:t>
      </w:r>
    </w:p>
    <w:p w:rsidR="00707633" w:rsidRDefault="00707633" w:rsidP="00707633">
      <w:pPr>
        <w:pStyle w:val="BodyText"/>
        <w:numPr>
          <w:ilvl w:val="0"/>
          <w:numId w:val="2"/>
        </w:numPr>
        <w:spacing w:line="360" w:lineRule="auto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T </w:t>
      </w:r>
      <w:proofErr w:type="gramStart"/>
      <w:r>
        <w:t xml:space="preserve">( </w:t>
      </w:r>
      <w:r w:rsidRPr="00F27BD0">
        <w:rPr>
          <w:i/>
        </w:rPr>
        <w:t>T</w:t>
      </w:r>
      <w:proofErr w:type="gramEnd"/>
      <w:r w:rsidRPr="00F27BD0">
        <w:rPr>
          <w:i/>
        </w:rPr>
        <w:t xml:space="preserve"> account form</w:t>
      </w:r>
      <w:r>
        <w:t xml:space="preserve"> ).</w:t>
      </w:r>
    </w:p>
    <w:p w:rsidR="00707633" w:rsidRDefault="00707633" w:rsidP="00707633">
      <w:pPr>
        <w:pStyle w:val="BodyText"/>
        <w:numPr>
          <w:ilvl w:val="0"/>
          <w:numId w:val="2"/>
        </w:numPr>
        <w:spacing w:line="360" w:lineRule="auto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>.</w:t>
      </w:r>
    </w:p>
    <w:p w:rsidR="00707633" w:rsidRDefault="00707633" w:rsidP="00707633">
      <w:pPr>
        <w:pStyle w:val="BodyText"/>
        <w:spacing w:line="360" w:lineRule="auto"/>
      </w:pPr>
      <w:proofErr w:type="spellStart"/>
      <w:r>
        <w:t>Bentuk</w:t>
      </w:r>
      <w:proofErr w:type="spellEnd"/>
      <w:r>
        <w:t xml:space="preserve"> </w:t>
      </w:r>
      <w:proofErr w:type="spellStart"/>
      <w:proofErr w:type="gramStart"/>
      <w:r>
        <w:t>perkiraan</w:t>
      </w:r>
      <w:proofErr w:type="spellEnd"/>
      <w:r>
        <w:t xml:space="preserve">  T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disisi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bank di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meletakkan</w:t>
      </w:r>
      <w:proofErr w:type="spellEnd"/>
      <w:r>
        <w:t xml:space="preserve"> </w:t>
      </w:r>
      <w:proofErr w:type="spellStart"/>
      <w:r>
        <w:t>cataan</w:t>
      </w:r>
      <w:proofErr w:type="spellEnd"/>
      <w:r>
        <w:t xml:space="preserve"> bank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.</w:t>
      </w:r>
    </w:p>
    <w:p w:rsidR="00707633" w:rsidRDefault="00707633" w:rsidP="00707633">
      <w:pPr>
        <w:pStyle w:val="BodyText"/>
        <w:spacing w:line="360" w:lineRule="auto"/>
        <w:rPr>
          <w:lang w:val="id-ID"/>
        </w:rPr>
      </w:pPr>
    </w:p>
    <w:p w:rsidR="00707633" w:rsidRDefault="00707633" w:rsidP="00707633">
      <w:pPr>
        <w:pStyle w:val="BodyText"/>
        <w:spacing w:line="360" w:lineRule="auto"/>
      </w:pPr>
      <w:r>
        <w:t xml:space="preserve">Ada 2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rekonsiliasi</w:t>
      </w:r>
      <w:proofErr w:type="spellEnd"/>
      <w:r>
        <w:t xml:space="preserve"> </w:t>
      </w:r>
      <w:proofErr w:type="gramStart"/>
      <w:r>
        <w:t>bank :</w:t>
      </w:r>
      <w:proofErr w:type="gramEnd"/>
    </w:p>
    <w:p w:rsidR="00707633" w:rsidRDefault="00707633" w:rsidP="00707633">
      <w:pPr>
        <w:pStyle w:val="BodyText"/>
        <w:numPr>
          <w:ilvl w:val="0"/>
          <w:numId w:val="3"/>
        </w:numPr>
        <w:spacing w:line="360" w:lineRule="auto"/>
      </w:pPr>
      <w:proofErr w:type="spellStart"/>
      <w:r>
        <w:t>Mencari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yang </w:t>
      </w:r>
      <w:proofErr w:type="spellStart"/>
      <w:r>
        <w:t>benar</w:t>
      </w:r>
      <w:proofErr w:type="spellEnd"/>
    </w:p>
    <w:p w:rsidR="00707633" w:rsidRDefault="00707633" w:rsidP="00707633">
      <w:pPr>
        <w:pStyle w:val="BodyText"/>
        <w:spacing w:line="360" w:lineRule="auto"/>
        <w:ind w:left="720"/>
      </w:pPr>
      <w:proofErr w:type="spellStart"/>
      <w:proofErr w:type="gramStart"/>
      <w:r>
        <w:t>Penyusunan</w:t>
      </w:r>
      <w:proofErr w:type="spellEnd"/>
      <w:r>
        <w:t xml:space="preserve">  bank</w:t>
      </w:r>
      <w:proofErr w:type="gramEnd"/>
      <w:r>
        <w:t xml:space="preserve"> </w:t>
      </w:r>
      <w:proofErr w:type="spellStart"/>
      <w:r>
        <w:t>rekonsiliasi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yang </w:t>
      </w:r>
      <w:proofErr w:type="spellStart"/>
      <w:r>
        <w:t>sesungguhnya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. </w:t>
      </w:r>
      <w:proofErr w:type="spellStart"/>
      <w:r>
        <w:t>Perhitungannya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bank.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707633" w:rsidRDefault="00707633" w:rsidP="00707633">
      <w:pPr>
        <w:pStyle w:val="BodyText"/>
        <w:spacing w:line="360" w:lineRule="auto"/>
        <w:ind w:left="720"/>
      </w:pPr>
    </w:p>
    <w:p w:rsidR="00707633" w:rsidRDefault="00707633" w:rsidP="00707633">
      <w:pPr>
        <w:pStyle w:val="BodyText"/>
        <w:spacing w:line="360" w:lineRule="auto"/>
        <w:ind w:left="720"/>
        <w:rPr>
          <w:lang w:val="id-ID"/>
        </w:rPr>
      </w:pPr>
    </w:p>
    <w:p w:rsidR="00707633" w:rsidRDefault="00707633" w:rsidP="00707633">
      <w:pPr>
        <w:pStyle w:val="BodyText"/>
        <w:numPr>
          <w:ilvl w:val="0"/>
          <w:numId w:val="3"/>
        </w:numPr>
        <w:spacing w:line="360" w:lineRule="auto"/>
        <w:rPr>
          <w:lang w:val="it-IT"/>
        </w:rPr>
      </w:pPr>
      <w:r w:rsidRPr="006B33C5">
        <w:rPr>
          <w:lang w:val="it-IT"/>
        </w:rPr>
        <w:t>Mencari saldo perusahaan melalui catatan bank</w:t>
      </w:r>
    </w:p>
    <w:p w:rsidR="00707633" w:rsidRPr="006B33C5" w:rsidRDefault="00707633" w:rsidP="00707633">
      <w:pPr>
        <w:pStyle w:val="BodyText"/>
        <w:spacing w:line="360" w:lineRule="auto"/>
        <w:ind w:left="720"/>
        <w:rPr>
          <w:lang w:val="it-IT"/>
        </w:rPr>
      </w:pPr>
      <w:r>
        <w:rPr>
          <w:lang w:val="it-IT"/>
        </w:rPr>
        <w:t>Dalam hal ini, saldo catatan bank disesuaikan ke catatan perusahaan. Saldo bank mengikuti kondisi perusahaan.</w:t>
      </w:r>
    </w:p>
    <w:p w:rsidR="000801F4" w:rsidRDefault="000801F4">
      <w:bookmarkStart w:id="0" w:name="_GoBack"/>
      <w:bookmarkEnd w:id="0"/>
    </w:p>
    <w:sectPr w:rsidR="0008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0CA"/>
    <w:multiLevelType w:val="hybridMultilevel"/>
    <w:tmpl w:val="B7BC3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FFFFFFF">
      <w:start w:val="1"/>
      <w:numFmt w:val="bullet"/>
      <w:lvlText w:val=""/>
      <w:lvlJc w:val="left"/>
      <w:pPr>
        <w:tabs>
          <w:tab w:val="num" w:pos="2377"/>
        </w:tabs>
        <w:ind w:left="2377" w:hanging="397"/>
      </w:pPr>
      <w:rPr>
        <w:rFonts w:ascii="Wingdings" w:hAnsi="Wingdings" w:hint="default"/>
      </w:rPr>
    </w:lvl>
    <w:lvl w:ilvl="3" w:tplc="76A88D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53DBD"/>
    <w:multiLevelType w:val="hybridMultilevel"/>
    <w:tmpl w:val="7110049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4032"/>
    <w:multiLevelType w:val="hybridMultilevel"/>
    <w:tmpl w:val="1512CC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3D70"/>
    <w:multiLevelType w:val="hybridMultilevel"/>
    <w:tmpl w:val="40BCE36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33"/>
    <w:rsid w:val="000801F4"/>
    <w:rsid w:val="007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06BDE-091A-40BE-A4DB-12C047A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63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0763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0763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0763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1</cp:revision>
  <dcterms:created xsi:type="dcterms:W3CDTF">2020-03-26T10:34:00Z</dcterms:created>
  <dcterms:modified xsi:type="dcterms:W3CDTF">2020-03-26T10:34:00Z</dcterms:modified>
</cp:coreProperties>
</file>