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FF" w:rsidRPr="00BD7336" w:rsidRDefault="009D3BFF" w:rsidP="009D3BFF">
      <w:pPr>
        <w:pStyle w:val="Title"/>
        <w:rPr>
          <w:rFonts w:ascii="Bremen Bd BT" w:hAnsi="Bremen Bd BT"/>
          <w:sz w:val="32"/>
          <w:lang w:val="sv-SE"/>
        </w:rPr>
      </w:pPr>
      <w:bookmarkStart w:id="0" w:name="_GoBack"/>
      <w:bookmarkEnd w:id="0"/>
      <w:r>
        <w:rPr>
          <w:rFonts w:ascii="Bremen Bd BT" w:hAnsi="Bremen Bd BT"/>
          <w:sz w:val="32"/>
          <w:lang w:val="sv-SE"/>
        </w:rPr>
        <w:t>SURAT BERHARGA</w:t>
      </w:r>
    </w:p>
    <w:p w:rsidR="009D3BFF" w:rsidRDefault="009D3BFF" w:rsidP="009D3BFF">
      <w:pPr>
        <w:pStyle w:val="BodyText"/>
        <w:rPr>
          <w:b/>
        </w:rPr>
      </w:pPr>
    </w:p>
    <w:p w:rsidR="009D3BFF" w:rsidRDefault="009D3BFF" w:rsidP="009D3BFF">
      <w:pPr>
        <w:pStyle w:val="BodyText"/>
      </w:pPr>
    </w:p>
    <w:p w:rsidR="009D3BFF" w:rsidRPr="00C133A9" w:rsidRDefault="009D3BFF" w:rsidP="009D3BFF">
      <w:pPr>
        <w:pStyle w:val="BodyText"/>
        <w:numPr>
          <w:ilvl w:val="3"/>
          <w:numId w:val="2"/>
        </w:numPr>
        <w:spacing w:line="360" w:lineRule="auto"/>
        <w:ind w:left="450" w:hanging="45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PENGERTIAN SURAT BERHARGA</w:t>
      </w:r>
    </w:p>
    <w:p w:rsidR="009D3BFF" w:rsidRDefault="009D3BFF" w:rsidP="009D3BFF">
      <w:pPr>
        <w:pStyle w:val="BodyText"/>
        <w:spacing w:line="360" w:lineRule="auto"/>
      </w:pPr>
      <w:r>
        <w:t xml:space="preserve">Marketable Securities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proofErr w:type="gramStart"/>
      <w:r>
        <w:t>pendek</w:t>
      </w:r>
      <w:proofErr w:type="spellEnd"/>
      <w:r>
        <w:t xml:space="preserve">  (</w:t>
      </w:r>
      <w:proofErr w:type="spellStart"/>
      <w:proofErr w:type="gramEnd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saham-saham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obligasi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lain.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. Marketable Securities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dibukukan</w:t>
      </w:r>
      <w:proofErr w:type="spellEnd"/>
      <w:r>
        <w:t xml:space="preserve"> (</w:t>
      </w:r>
      <w:proofErr w:type="spellStart"/>
      <w:r>
        <w:t>didebet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dikredit</w:t>
      </w:r>
      <w:proofErr w:type="spellEnd"/>
      <w:r>
        <w:t xml:space="preserve">)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perolehannya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costnya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:rsidR="009D3BFF" w:rsidRDefault="009D3BFF" w:rsidP="009D3BFF">
      <w:pPr>
        <w:pStyle w:val="BodyText"/>
        <w:spacing w:line="360" w:lineRule="auto"/>
      </w:pPr>
    </w:p>
    <w:p w:rsidR="009D3BFF" w:rsidRDefault="009D3BFF" w:rsidP="009D3BFF">
      <w:pPr>
        <w:pStyle w:val="BodyText"/>
        <w:jc w:val="center"/>
        <w:outlineLvl w:val="0"/>
        <w:rPr>
          <w:b/>
        </w:rPr>
      </w:pPr>
      <w:r>
        <w:rPr>
          <w:b/>
        </w:rPr>
        <w:t xml:space="preserve">COST = NILAI </w:t>
      </w:r>
      <w:proofErr w:type="gramStart"/>
      <w:r>
        <w:rPr>
          <w:b/>
        </w:rPr>
        <w:t>KURS  +</w:t>
      </w:r>
      <w:proofErr w:type="gramEnd"/>
      <w:r>
        <w:rPr>
          <w:b/>
        </w:rPr>
        <w:t xml:space="preserve">  PROVISI  +  METERAI</w:t>
      </w:r>
    </w:p>
    <w:p w:rsidR="009D3BFF" w:rsidRDefault="009D3BFF" w:rsidP="009D3BFF">
      <w:pPr>
        <w:pStyle w:val="BodyText"/>
        <w:jc w:val="center"/>
      </w:pPr>
    </w:p>
    <w:p w:rsidR="009D3BFF" w:rsidRDefault="009D3BFF" w:rsidP="009D3BFF">
      <w:pPr>
        <w:pStyle w:val="BodyText"/>
        <w:spacing w:line="360" w:lineRule="auto"/>
      </w:pPr>
      <w:proofErr w:type="spellStart"/>
      <w:r>
        <w:t>Apabila</w:t>
      </w:r>
      <w:proofErr w:type="spellEnd"/>
      <w:r>
        <w:t xml:space="preserve"> Marketable </w:t>
      </w:r>
      <w:proofErr w:type="gramStart"/>
      <w:r>
        <w:t xml:space="preserve">Securities  </w:t>
      </w:r>
      <w:proofErr w:type="spellStart"/>
      <w:r>
        <w:t>dijual</w:t>
      </w:r>
      <w:proofErr w:type="spellEnd"/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(sales)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costnya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perkiraan</w:t>
      </w:r>
      <w:proofErr w:type="spellEnd"/>
      <w:r>
        <w:t xml:space="preserve"> Gain/Loss on Sales of Marketable Securities. </w:t>
      </w:r>
      <w:proofErr w:type="gramStart"/>
      <w:r>
        <w:t xml:space="preserve">( </w:t>
      </w:r>
      <w:proofErr w:type="spellStart"/>
      <w:r>
        <w:t>Laba</w:t>
      </w:r>
      <w:proofErr w:type="spellEnd"/>
      <w:proofErr w:type="gramEnd"/>
      <w:r>
        <w:t xml:space="preserve"> /</w:t>
      </w:r>
      <w:proofErr w:type="spellStart"/>
      <w:r>
        <w:t>Rugi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Marketable Securities )</w:t>
      </w:r>
    </w:p>
    <w:p w:rsidR="009D3BFF" w:rsidRDefault="009D3BFF" w:rsidP="009D3BFF">
      <w:pPr>
        <w:pStyle w:val="BodyText"/>
        <w:spacing w:line="360" w:lineRule="auto"/>
      </w:pPr>
      <w:r>
        <w:t xml:space="preserve">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sales </w:t>
      </w:r>
      <w:proofErr w:type="spellStart"/>
      <w:r>
        <w:t>disini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9D3BFF" w:rsidRDefault="009D3BFF" w:rsidP="009D3BFF">
      <w:pPr>
        <w:pStyle w:val="BodyText"/>
      </w:pPr>
    </w:p>
    <w:p w:rsidR="009D3BFF" w:rsidRDefault="009D3BFF" w:rsidP="009D3BFF">
      <w:pPr>
        <w:pStyle w:val="BodyText"/>
        <w:jc w:val="center"/>
        <w:rPr>
          <w:b/>
        </w:rPr>
      </w:pPr>
      <w:r>
        <w:rPr>
          <w:b/>
        </w:rPr>
        <w:t xml:space="preserve">SALES   </w:t>
      </w:r>
      <w:proofErr w:type="gramStart"/>
      <w:r>
        <w:rPr>
          <w:b/>
        </w:rPr>
        <w:t>=  NILAI</w:t>
      </w:r>
      <w:proofErr w:type="gramEnd"/>
      <w:r>
        <w:rPr>
          <w:b/>
        </w:rPr>
        <w:t xml:space="preserve"> KURS  -  ( PROVISI  +  METERAI )</w:t>
      </w:r>
    </w:p>
    <w:p w:rsidR="009D3BFF" w:rsidRDefault="009D3BFF" w:rsidP="009D3BFF">
      <w:pPr>
        <w:pStyle w:val="BodyText"/>
        <w:jc w:val="center"/>
      </w:pPr>
    </w:p>
    <w:p w:rsidR="009D3BFF" w:rsidRDefault="009D3BFF" w:rsidP="009D3BFF">
      <w:pPr>
        <w:pStyle w:val="BodyText"/>
        <w:spacing w:line="360" w:lineRule="auto"/>
      </w:pPr>
    </w:p>
    <w:p w:rsidR="009D3BFF" w:rsidRDefault="009D3BFF" w:rsidP="009D3BFF">
      <w:pPr>
        <w:pStyle w:val="BodyText"/>
        <w:spacing w:line="360" w:lineRule="auto"/>
      </w:pPr>
      <w:r>
        <w:t xml:space="preserve">Marketable Securities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 </w:t>
      </w:r>
      <w:proofErr w:type="spellStart"/>
      <w:proofErr w:type="gramStart"/>
      <w:r>
        <w:t>macam</w:t>
      </w:r>
      <w:proofErr w:type="spellEnd"/>
      <w:r>
        <w:t xml:space="preserve"> :</w:t>
      </w:r>
      <w:proofErr w:type="gramEnd"/>
    </w:p>
    <w:p w:rsidR="009D3BFF" w:rsidRDefault="009D3BFF" w:rsidP="009D3BFF">
      <w:pPr>
        <w:pStyle w:val="BodyText"/>
        <w:numPr>
          <w:ilvl w:val="0"/>
          <w:numId w:val="3"/>
        </w:numPr>
        <w:spacing w:line="360" w:lineRule="auto"/>
      </w:pPr>
      <w:proofErr w:type="spellStart"/>
      <w:r>
        <w:t>Saham</w:t>
      </w:r>
      <w:proofErr w:type="spellEnd"/>
    </w:p>
    <w:p w:rsidR="009D3BFF" w:rsidRDefault="009D3BFF" w:rsidP="009D3BFF">
      <w:pPr>
        <w:pStyle w:val="BodyText"/>
        <w:numPr>
          <w:ilvl w:val="0"/>
          <w:numId w:val="3"/>
        </w:numPr>
        <w:spacing w:line="360" w:lineRule="auto"/>
      </w:pPr>
      <w:proofErr w:type="spellStart"/>
      <w:r>
        <w:t>Obligasi</w:t>
      </w:r>
      <w:proofErr w:type="spellEnd"/>
    </w:p>
    <w:p w:rsidR="009D3BFF" w:rsidRDefault="009D3BFF" w:rsidP="009D3BFF">
      <w:pPr>
        <w:pStyle w:val="BodyText"/>
        <w:spacing w:line="360" w:lineRule="auto"/>
        <w:ind w:left="360"/>
      </w:pPr>
    </w:p>
    <w:p w:rsidR="009D3BFF" w:rsidRDefault="009D3BFF" w:rsidP="009D3BFF">
      <w:pPr>
        <w:pStyle w:val="BodyText"/>
        <w:spacing w:line="360" w:lineRule="auto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perkiraan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9D3BFF" w:rsidRDefault="009D3BFF" w:rsidP="009D3BFF">
      <w:pPr>
        <w:pStyle w:val="BodyText"/>
        <w:spacing w:line="360" w:lineRule="auto"/>
        <w:outlineLvl w:val="0"/>
        <w:rPr>
          <w:b/>
        </w:rPr>
      </w:pPr>
      <w:proofErr w:type="spellStart"/>
      <w:proofErr w:type="gramStart"/>
      <w:r>
        <w:rPr>
          <w:b/>
        </w:rPr>
        <w:t>Debet</w:t>
      </w:r>
      <w:proofErr w:type="spellEnd"/>
      <w:r>
        <w:rPr>
          <w:b/>
        </w:rPr>
        <w:t xml:space="preserve"> :</w:t>
      </w:r>
      <w:proofErr w:type="gramEnd"/>
    </w:p>
    <w:p w:rsidR="009D3BFF" w:rsidRDefault="009D3BFF" w:rsidP="009D3BFF">
      <w:pPr>
        <w:pStyle w:val="BodyText"/>
        <w:spacing w:line="360" w:lineRule="auto"/>
      </w:pP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pemeblian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obligasi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proofErr w:type="gramStart"/>
      <w:r>
        <w:t>perolehan</w:t>
      </w:r>
      <w:proofErr w:type="spellEnd"/>
      <w:r>
        <w:t xml:space="preserve">  (</w:t>
      </w:r>
      <w:proofErr w:type="gramEnd"/>
      <w:r>
        <w:t xml:space="preserve">cost)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ongkos-ongkos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(</w:t>
      </w:r>
      <w:proofErr w:type="spellStart"/>
      <w:r>
        <w:t>provisi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meterai</w:t>
      </w:r>
      <w:proofErr w:type="spellEnd"/>
      <w:r>
        <w:t>).</w:t>
      </w:r>
    </w:p>
    <w:p w:rsidR="009D3BFF" w:rsidRPr="00CE47DB" w:rsidRDefault="009D3BFF" w:rsidP="009D3BFF">
      <w:pPr>
        <w:pStyle w:val="BodyText"/>
        <w:spacing w:line="360" w:lineRule="auto"/>
        <w:outlineLvl w:val="0"/>
        <w:rPr>
          <w:b/>
          <w:lang w:val="sv-SE"/>
        </w:rPr>
      </w:pPr>
      <w:r w:rsidRPr="00CE47DB">
        <w:rPr>
          <w:b/>
          <w:lang w:val="sv-SE"/>
        </w:rPr>
        <w:t xml:space="preserve">Kredit : </w:t>
      </w:r>
    </w:p>
    <w:p w:rsidR="009D3BFF" w:rsidRPr="00CE47DB" w:rsidRDefault="009D3BFF" w:rsidP="009D3BFF">
      <w:pPr>
        <w:pStyle w:val="BodyText"/>
        <w:spacing w:line="360" w:lineRule="auto"/>
        <w:rPr>
          <w:lang w:val="sv-SE"/>
        </w:rPr>
      </w:pPr>
      <w:r w:rsidRPr="00CE47DB">
        <w:rPr>
          <w:lang w:val="sv-SE"/>
        </w:rPr>
        <w:t>Pada saat penjualan saham dan atau obligasi berdasarkan harga perolehan (cost) tanpa memperhatikan harga jual.</w:t>
      </w:r>
    </w:p>
    <w:p w:rsidR="009D3BFF" w:rsidRDefault="009D3BFF" w:rsidP="009D3BFF">
      <w:pPr>
        <w:pStyle w:val="BodyText"/>
      </w:pPr>
    </w:p>
    <w:p w:rsidR="009D3BFF" w:rsidRDefault="009D3BFF" w:rsidP="009D3BFF">
      <w:pPr>
        <w:pStyle w:val="BodyText"/>
      </w:pPr>
    </w:p>
    <w:p w:rsidR="009D3BFF" w:rsidRDefault="009D3BFF" w:rsidP="009D3BFF">
      <w:pPr>
        <w:pStyle w:val="BodyText"/>
      </w:pPr>
    </w:p>
    <w:p w:rsidR="009D3BFF" w:rsidRDefault="009D3BFF" w:rsidP="009D3BFF">
      <w:pPr>
        <w:pStyle w:val="BodyText"/>
      </w:pPr>
    </w:p>
    <w:p w:rsidR="009D3BFF" w:rsidRPr="00D06514" w:rsidRDefault="009D3BFF" w:rsidP="009D3BFF">
      <w:pPr>
        <w:pStyle w:val="BodyText"/>
        <w:numPr>
          <w:ilvl w:val="3"/>
          <w:numId w:val="1"/>
        </w:numPr>
        <w:tabs>
          <w:tab w:val="clear" w:pos="2880"/>
        </w:tabs>
        <w:ind w:left="360"/>
        <w:rPr>
          <w:rFonts w:ascii="Bradley Hand ITC" w:hAnsi="Bradley Hand ITC"/>
          <w:b/>
          <w:sz w:val="28"/>
          <w:szCs w:val="28"/>
        </w:rPr>
      </w:pPr>
      <w:r w:rsidRPr="00D06514">
        <w:rPr>
          <w:rFonts w:ascii="Bradley Hand ITC" w:hAnsi="Bradley Hand ITC"/>
          <w:b/>
          <w:sz w:val="28"/>
          <w:szCs w:val="28"/>
        </w:rPr>
        <w:t>SAHAM</w:t>
      </w:r>
      <w:r>
        <w:rPr>
          <w:rFonts w:ascii="Bradley Hand ITC" w:hAnsi="Bradley Hand ITC"/>
          <w:b/>
          <w:sz w:val="28"/>
          <w:szCs w:val="28"/>
        </w:rPr>
        <w:t xml:space="preserve"> DAN PERHITUNGANNYA</w:t>
      </w:r>
    </w:p>
    <w:p w:rsidR="009D3BFF" w:rsidRDefault="009D3BFF" w:rsidP="009D3BFF">
      <w:pPr>
        <w:pStyle w:val="BodyText"/>
        <w:rPr>
          <w:b/>
          <w:u w:val="single"/>
        </w:rPr>
      </w:pPr>
    </w:p>
    <w:p w:rsidR="009D3BFF" w:rsidRPr="00D06514" w:rsidRDefault="009D3BFF" w:rsidP="009D3BFF">
      <w:pPr>
        <w:pStyle w:val="BodyTextIndent"/>
        <w:ind w:left="0"/>
        <w:jc w:val="center"/>
        <w:outlineLvl w:val="0"/>
        <w:rPr>
          <w:rFonts w:ascii="Bradley Hand ITC" w:hAnsi="Bradley Hand ITC"/>
          <w:sz w:val="28"/>
          <w:szCs w:val="28"/>
          <w:u w:val="single"/>
        </w:rPr>
      </w:pPr>
      <w:r w:rsidRPr="00D06514">
        <w:rPr>
          <w:rFonts w:ascii="Bradley Hand ITC" w:hAnsi="Bradley Hand ITC"/>
          <w:sz w:val="28"/>
          <w:szCs w:val="28"/>
          <w:u w:val="single"/>
        </w:rPr>
        <w:t>CONTOH SOAL</w:t>
      </w:r>
    </w:p>
    <w:p w:rsidR="009D3BFF" w:rsidRDefault="009D3BFF" w:rsidP="009D3BFF">
      <w:pPr>
        <w:pStyle w:val="BodyText"/>
      </w:pPr>
    </w:p>
    <w:p w:rsidR="009D3BFF" w:rsidRDefault="009D3BFF" w:rsidP="009D3BFF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</w:pPr>
      <w:proofErr w:type="spellStart"/>
      <w:r>
        <w:t>Tanggal</w:t>
      </w:r>
      <w:proofErr w:type="spellEnd"/>
      <w:r>
        <w:t xml:space="preserve"> 20 </w:t>
      </w:r>
      <w:proofErr w:type="spellStart"/>
      <w:r>
        <w:t>Agustus</w:t>
      </w:r>
      <w:proofErr w:type="spellEnd"/>
      <w:r>
        <w:t xml:space="preserve"> 20</w:t>
      </w:r>
      <w:r>
        <w:rPr>
          <w:lang w:val="id-ID"/>
        </w:rPr>
        <w:t>1</w:t>
      </w:r>
      <w:r>
        <w:t xml:space="preserve">4 </w:t>
      </w:r>
      <w:proofErr w:type="spellStart"/>
      <w:r>
        <w:t>dibeli</w:t>
      </w:r>
      <w:proofErr w:type="spellEnd"/>
      <w:r>
        <w:t xml:space="preserve"> 120 </w:t>
      </w:r>
      <w:proofErr w:type="spellStart"/>
      <w:r>
        <w:t>lbr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PT </w:t>
      </w:r>
      <w:r>
        <w:rPr>
          <w:lang w:val="id-ID"/>
        </w:rPr>
        <w:t>ABUBA</w:t>
      </w:r>
      <w:r>
        <w:t xml:space="preserve"> @nominal </w:t>
      </w:r>
      <w:proofErr w:type="spellStart"/>
      <w:r>
        <w:t>Rp</w:t>
      </w:r>
      <w:proofErr w:type="spellEnd"/>
      <w:r>
        <w:t>. 50.</w:t>
      </w:r>
      <w:proofErr w:type="gramStart"/>
      <w:r>
        <w:t>000,-</w:t>
      </w:r>
      <w:proofErr w:type="gramEnd"/>
      <w:r>
        <w:t xml:space="preserve"> </w:t>
      </w:r>
      <w:proofErr w:type="spellStart"/>
      <w:r>
        <w:t>kurs</w:t>
      </w:r>
      <w:proofErr w:type="spellEnd"/>
      <w:r>
        <w:t xml:space="preserve"> 105, </w:t>
      </w:r>
      <w:proofErr w:type="spellStart"/>
      <w:r>
        <w:t>provisi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meterai</w:t>
      </w:r>
      <w:proofErr w:type="spellEnd"/>
      <w:r>
        <w:t xml:space="preserve"> </w:t>
      </w:r>
      <w:proofErr w:type="spellStart"/>
      <w:r>
        <w:t>Rp</w:t>
      </w:r>
      <w:proofErr w:type="spellEnd"/>
      <w:r>
        <w:t>. 60.</w:t>
      </w:r>
      <w:proofErr w:type="gramStart"/>
      <w:r>
        <w:t>000,-</w:t>
      </w:r>
      <w:proofErr w:type="gramEnd"/>
    </w:p>
    <w:p w:rsidR="009D3BFF" w:rsidRPr="006B33C5" w:rsidRDefault="009D3BFF" w:rsidP="009D3BFF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lang w:val="sv-SE"/>
        </w:rPr>
      </w:pPr>
      <w:r>
        <w:rPr>
          <w:lang w:val="sv-SE"/>
        </w:rPr>
        <w:t>Tanggal 25 Desember 2014</w:t>
      </w:r>
      <w:r w:rsidRPr="006B33C5">
        <w:rPr>
          <w:lang w:val="sv-SE"/>
        </w:rPr>
        <w:t xml:space="preserve"> dijual 80 lbr dari saham tersebut diatas dengan kurs 110, provisi dan meterai ½ %</w:t>
      </w:r>
    </w:p>
    <w:p w:rsidR="009D3BFF" w:rsidRPr="006B33C5" w:rsidRDefault="009D3BFF" w:rsidP="009D3BFF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lang w:val="sv-SE"/>
        </w:rPr>
      </w:pPr>
      <w:r>
        <w:rPr>
          <w:lang w:val="sv-SE"/>
        </w:rPr>
        <w:t>Tanggal 10 Januari 2015</w:t>
      </w:r>
      <w:r w:rsidRPr="006B33C5">
        <w:rPr>
          <w:lang w:val="sv-SE"/>
        </w:rPr>
        <w:t xml:space="preserve"> diterima deviden dari  saham tersebut sebesar Rp. 4.000,- perlembar saham.</w:t>
      </w:r>
    </w:p>
    <w:p w:rsidR="009D3BFF" w:rsidRDefault="009D3BFF" w:rsidP="009D3BFF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57" w:hanging="357"/>
        <w:rPr>
          <w:lang w:val="sv-SE"/>
        </w:rPr>
      </w:pPr>
      <w:r w:rsidRPr="006B33C5">
        <w:rPr>
          <w:lang w:val="sv-SE"/>
        </w:rPr>
        <w:t>Tang</w:t>
      </w:r>
      <w:r>
        <w:rPr>
          <w:lang w:val="sv-SE"/>
        </w:rPr>
        <w:t>gal 17 Februari 20</w:t>
      </w:r>
      <w:r>
        <w:rPr>
          <w:lang w:val="id-ID"/>
        </w:rPr>
        <w:t>15</w:t>
      </w:r>
      <w:r w:rsidRPr="006B33C5">
        <w:rPr>
          <w:lang w:val="sv-SE"/>
        </w:rPr>
        <w:t xml:space="preserve"> dijual 20 lbr saham tersebut diatas dengan harga Rp. 52.000,- perlembar saham, provisi dan meterai Rp. 10.000,-</w:t>
      </w:r>
    </w:p>
    <w:p w:rsidR="009D3BFF" w:rsidRDefault="009D3BFF" w:rsidP="009D3BFF">
      <w:pPr>
        <w:pStyle w:val="BodyText"/>
        <w:spacing w:line="360" w:lineRule="auto"/>
        <w:rPr>
          <w:lang w:val="id-ID"/>
        </w:rPr>
      </w:pPr>
    </w:p>
    <w:p w:rsidR="009D3BFF" w:rsidRPr="002959E0" w:rsidRDefault="009D3BFF" w:rsidP="009D3BFF">
      <w:pPr>
        <w:pStyle w:val="BodyText"/>
        <w:spacing w:line="360" w:lineRule="auto"/>
        <w:rPr>
          <w:lang w:val="id-ID"/>
        </w:rPr>
      </w:pP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3838"/>
        <w:gridCol w:w="1440"/>
        <w:gridCol w:w="1437"/>
      </w:tblGrid>
      <w:tr w:rsidR="009D3BFF" w:rsidRPr="00781BDE" w:rsidTr="00416E26">
        <w:trPr>
          <w:jc w:val="center"/>
        </w:trPr>
        <w:tc>
          <w:tcPr>
            <w:tcW w:w="1477" w:type="dxa"/>
          </w:tcPr>
          <w:p w:rsidR="009D3BFF" w:rsidRPr="00781BDE" w:rsidRDefault="009D3BFF" w:rsidP="00416E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81BDE">
              <w:rPr>
                <w:b/>
              </w:rPr>
              <w:t>Tanggal</w:t>
            </w:r>
            <w:proofErr w:type="spellEnd"/>
          </w:p>
        </w:tc>
        <w:tc>
          <w:tcPr>
            <w:tcW w:w="3838" w:type="dxa"/>
          </w:tcPr>
          <w:p w:rsidR="009D3BFF" w:rsidRPr="00781BDE" w:rsidRDefault="009D3BFF" w:rsidP="00416E2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Jurnal</w:t>
            </w:r>
            <w:proofErr w:type="spellEnd"/>
          </w:p>
        </w:tc>
        <w:tc>
          <w:tcPr>
            <w:tcW w:w="1440" w:type="dxa"/>
          </w:tcPr>
          <w:p w:rsidR="009D3BFF" w:rsidRPr="00781BDE" w:rsidRDefault="009D3BFF" w:rsidP="00416E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81BDE">
              <w:rPr>
                <w:b/>
              </w:rPr>
              <w:t>Debet</w:t>
            </w:r>
            <w:proofErr w:type="spellEnd"/>
          </w:p>
        </w:tc>
        <w:tc>
          <w:tcPr>
            <w:tcW w:w="1437" w:type="dxa"/>
          </w:tcPr>
          <w:p w:rsidR="009D3BFF" w:rsidRPr="00781BDE" w:rsidRDefault="009D3BFF" w:rsidP="00416E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81BDE">
              <w:rPr>
                <w:b/>
              </w:rPr>
              <w:t>Kredit</w:t>
            </w:r>
            <w:proofErr w:type="spellEnd"/>
          </w:p>
        </w:tc>
      </w:tr>
      <w:tr w:rsidR="009D3BFF" w:rsidTr="00416E26">
        <w:trPr>
          <w:jc w:val="center"/>
        </w:trPr>
        <w:tc>
          <w:tcPr>
            <w:tcW w:w="1477" w:type="dxa"/>
          </w:tcPr>
          <w:p w:rsidR="009D3BFF" w:rsidRPr="002959E0" w:rsidRDefault="009D3BFF" w:rsidP="00416E26">
            <w:pPr>
              <w:pStyle w:val="BodyText"/>
              <w:rPr>
                <w:lang w:val="id-ID"/>
              </w:rPr>
            </w:pPr>
            <w:r>
              <w:t>20/08/20</w:t>
            </w:r>
            <w:r>
              <w:rPr>
                <w:lang w:val="id-ID"/>
              </w:rPr>
              <w:t>14</w:t>
            </w:r>
          </w:p>
        </w:tc>
        <w:tc>
          <w:tcPr>
            <w:tcW w:w="3838" w:type="dxa"/>
          </w:tcPr>
          <w:p w:rsidR="009D3BFF" w:rsidRDefault="009D3BFF" w:rsidP="00416E26">
            <w:pPr>
              <w:jc w:val="both"/>
            </w:pPr>
            <w:r>
              <w:t>Marketable securities</w:t>
            </w:r>
          </w:p>
          <w:p w:rsidR="009D3BFF" w:rsidRPr="00781BDE" w:rsidRDefault="009D3BFF" w:rsidP="00416E26">
            <w:pPr>
              <w:jc w:val="both"/>
            </w:pPr>
            <w:r>
              <w:t xml:space="preserve">       Cash</w:t>
            </w:r>
          </w:p>
        </w:tc>
        <w:tc>
          <w:tcPr>
            <w:tcW w:w="1440" w:type="dxa"/>
          </w:tcPr>
          <w:p w:rsidR="009D3BFF" w:rsidRDefault="009D3BFF" w:rsidP="00416E26">
            <w:pPr>
              <w:jc w:val="right"/>
            </w:pPr>
            <w:r>
              <w:t>6.360.000</w:t>
            </w:r>
          </w:p>
        </w:tc>
        <w:tc>
          <w:tcPr>
            <w:tcW w:w="1437" w:type="dxa"/>
          </w:tcPr>
          <w:p w:rsidR="009D3BFF" w:rsidRDefault="009D3BFF" w:rsidP="00416E26">
            <w:pPr>
              <w:tabs>
                <w:tab w:val="left" w:pos="274"/>
              </w:tabs>
              <w:jc w:val="right"/>
            </w:pPr>
          </w:p>
          <w:p w:rsidR="009D3BFF" w:rsidRDefault="009D3BFF" w:rsidP="00416E26">
            <w:pPr>
              <w:tabs>
                <w:tab w:val="left" w:pos="274"/>
              </w:tabs>
              <w:jc w:val="right"/>
            </w:pPr>
            <w:r>
              <w:t>6.360.000</w:t>
            </w:r>
          </w:p>
        </w:tc>
      </w:tr>
      <w:tr w:rsidR="009D3BFF" w:rsidTr="00416E26">
        <w:trPr>
          <w:jc w:val="center"/>
        </w:trPr>
        <w:tc>
          <w:tcPr>
            <w:tcW w:w="1477" w:type="dxa"/>
          </w:tcPr>
          <w:p w:rsidR="009D3BFF" w:rsidRPr="002959E0" w:rsidRDefault="009D3BFF" w:rsidP="00416E26">
            <w:pPr>
              <w:pStyle w:val="BodyText"/>
              <w:rPr>
                <w:lang w:val="id-ID"/>
              </w:rPr>
            </w:pPr>
            <w:r>
              <w:t>25/12/20</w:t>
            </w:r>
            <w:r>
              <w:rPr>
                <w:lang w:val="id-ID"/>
              </w:rPr>
              <w:t>14</w:t>
            </w:r>
          </w:p>
        </w:tc>
        <w:tc>
          <w:tcPr>
            <w:tcW w:w="3838" w:type="dxa"/>
          </w:tcPr>
          <w:p w:rsidR="009D3BFF" w:rsidRDefault="009D3BFF" w:rsidP="00416E26">
            <w:pPr>
              <w:jc w:val="both"/>
            </w:pPr>
            <w:r>
              <w:t>Cash</w:t>
            </w:r>
          </w:p>
          <w:p w:rsidR="009D3BFF" w:rsidRDefault="009D3BFF" w:rsidP="00416E26">
            <w:pPr>
              <w:jc w:val="both"/>
            </w:pPr>
            <w:r>
              <w:t xml:space="preserve">       Marketable securities</w:t>
            </w:r>
          </w:p>
          <w:p w:rsidR="009D3BFF" w:rsidRDefault="009D3BFF" w:rsidP="00416E26">
            <w:pPr>
              <w:jc w:val="both"/>
            </w:pPr>
            <w:r>
              <w:t xml:space="preserve">       Gain on sales of MS</w:t>
            </w:r>
          </w:p>
        </w:tc>
        <w:tc>
          <w:tcPr>
            <w:tcW w:w="1440" w:type="dxa"/>
          </w:tcPr>
          <w:p w:rsidR="009D3BFF" w:rsidRDefault="009D3BFF" w:rsidP="00416E26">
            <w:pPr>
              <w:jc w:val="right"/>
            </w:pPr>
            <w:r>
              <w:t>4.378.000</w:t>
            </w:r>
          </w:p>
        </w:tc>
        <w:tc>
          <w:tcPr>
            <w:tcW w:w="1437" w:type="dxa"/>
          </w:tcPr>
          <w:p w:rsidR="009D3BFF" w:rsidRDefault="009D3BFF" w:rsidP="00416E26">
            <w:pPr>
              <w:tabs>
                <w:tab w:val="left" w:pos="274"/>
              </w:tabs>
              <w:jc w:val="right"/>
            </w:pPr>
          </w:p>
          <w:p w:rsidR="009D3BFF" w:rsidRDefault="009D3BFF" w:rsidP="00416E26">
            <w:pPr>
              <w:tabs>
                <w:tab w:val="left" w:pos="274"/>
              </w:tabs>
              <w:jc w:val="right"/>
            </w:pPr>
            <w:r>
              <w:t>4.240.000</w:t>
            </w:r>
          </w:p>
          <w:p w:rsidR="009D3BFF" w:rsidRDefault="009D3BFF" w:rsidP="00416E26">
            <w:pPr>
              <w:tabs>
                <w:tab w:val="left" w:pos="274"/>
              </w:tabs>
              <w:jc w:val="right"/>
            </w:pPr>
            <w:r>
              <w:t>138.000</w:t>
            </w:r>
          </w:p>
        </w:tc>
      </w:tr>
      <w:tr w:rsidR="009D3BFF" w:rsidTr="00416E26">
        <w:trPr>
          <w:jc w:val="center"/>
        </w:trPr>
        <w:tc>
          <w:tcPr>
            <w:tcW w:w="1477" w:type="dxa"/>
          </w:tcPr>
          <w:p w:rsidR="009D3BFF" w:rsidRPr="002959E0" w:rsidRDefault="009D3BFF" w:rsidP="00416E26">
            <w:pPr>
              <w:pStyle w:val="BodyText"/>
              <w:rPr>
                <w:lang w:val="id-ID"/>
              </w:rPr>
            </w:pPr>
            <w:r>
              <w:t>10/01/20</w:t>
            </w:r>
            <w:r>
              <w:rPr>
                <w:lang w:val="id-ID"/>
              </w:rPr>
              <w:t>15</w:t>
            </w:r>
          </w:p>
        </w:tc>
        <w:tc>
          <w:tcPr>
            <w:tcW w:w="3838" w:type="dxa"/>
          </w:tcPr>
          <w:p w:rsidR="009D3BFF" w:rsidRDefault="009D3BFF" w:rsidP="00416E26">
            <w:pPr>
              <w:jc w:val="both"/>
            </w:pPr>
            <w:r>
              <w:t>Cash</w:t>
            </w:r>
          </w:p>
          <w:p w:rsidR="009D3BFF" w:rsidRDefault="009D3BFF" w:rsidP="00416E26">
            <w:pPr>
              <w:jc w:val="both"/>
            </w:pPr>
            <w:r>
              <w:t xml:space="preserve">       </w:t>
            </w:r>
            <w:proofErr w:type="spellStart"/>
            <w:r>
              <w:t>Deviden</w:t>
            </w:r>
            <w:proofErr w:type="spellEnd"/>
            <w:r>
              <w:t xml:space="preserve"> income</w:t>
            </w:r>
          </w:p>
        </w:tc>
        <w:tc>
          <w:tcPr>
            <w:tcW w:w="1440" w:type="dxa"/>
          </w:tcPr>
          <w:p w:rsidR="009D3BFF" w:rsidRDefault="009D3BFF" w:rsidP="00416E26">
            <w:pPr>
              <w:jc w:val="right"/>
            </w:pPr>
            <w:r>
              <w:t>160.000</w:t>
            </w:r>
          </w:p>
        </w:tc>
        <w:tc>
          <w:tcPr>
            <w:tcW w:w="1437" w:type="dxa"/>
          </w:tcPr>
          <w:p w:rsidR="009D3BFF" w:rsidRDefault="009D3BFF" w:rsidP="00416E26">
            <w:pPr>
              <w:tabs>
                <w:tab w:val="left" w:pos="274"/>
              </w:tabs>
              <w:jc w:val="right"/>
            </w:pPr>
          </w:p>
          <w:p w:rsidR="009D3BFF" w:rsidRDefault="009D3BFF" w:rsidP="00416E26">
            <w:pPr>
              <w:tabs>
                <w:tab w:val="left" w:pos="274"/>
              </w:tabs>
              <w:jc w:val="right"/>
            </w:pPr>
          </w:p>
          <w:p w:rsidR="009D3BFF" w:rsidRDefault="009D3BFF" w:rsidP="00416E26">
            <w:pPr>
              <w:tabs>
                <w:tab w:val="left" w:pos="274"/>
              </w:tabs>
              <w:jc w:val="right"/>
            </w:pPr>
            <w:r>
              <w:t>160.000</w:t>
            </w:r>
          </w:p>
        </w:tc>
      </w:tr>
      <w:tr w:rsidR="009D3BFF" w:rsidTr="00416E26">
        <w:trPr>
          <w:jc w:val="center"/>
        </w:trPr>
        <w:tc>
          <w:tcPr>
            <w:tcW w:w="1477" w:type="dxa"/>
          </w:tcPr>
          <w:p w:rsidR="009D3BFF" w:rsidRDefault="009D3BFF" w:rsidP="00416E26">
            <w:pPr>
              <w:pStyle w:val="BodyText"/>
            </w:pPr>
            <w:r>
              <w:t>17/02/2015</w:t>
            </w:r>
          </w:p>
        </w:tc>
        <w:tc>
          <w:tcPr>
            <w:tcW w:w="3838" w:type="dxa"/>
          </w:tcPr>
          <w:p w:rsidR="009D3BFF" w:rsidRDefault="009D3BFF" w:rsidP="00416E26">
            <w:pPr>
              <w:jc w:val="both"/>
            </w:pPr>
            <w:r>
              <w:t>Cash</w:t>
            </w:r>
          </w:p>
          <w:p w:rsidR="009D3BFF" w:rsidRDefault="009D3BFF" w:rsidP="00416E26">
            <w:pPr>
              <w:jc w:val="both"/>
            </w:pPr>
            <w:r>
              <w:t>Loss on sales of MS</w:t>
            </w:r>
          </w:p>
          <w:p w:rsidR="009D3BFF" w:rsidRDefault="009D3BFF" w:rsidP="00416E26">
            <w:pPr>
              <w:jc w:val="both"/>
            </w:pPr>
            <w:r>
              <w:t xml:space="preserve">       Marketable securities       </w:t>
            </w:r>
          </w:p>
        </w:tc>
        <w:tc>
          <w:tcPr>
            <w:tcW w:w="1440" w:type="dxa"/>
          </w:tcPr>
          <w:p w:rsidR="009D3BFF" w:rsidRDefault="009D3BFF" w:rsidP="00416E26">
            <w:pPr>
              <w:jc w:val="right"/>
            </w:pPr>
            <w:r>
              <w:t>1.030.000</w:t>
            </w:r>
          </w:p>
          <w:p w:rsidR="009D3BFF" w:rsidRDefault="009D3BFF" w:rsidP="00416E26">
            <w:pPr>
              <w:jc w:val="right"/>
            </w:pPr>
            <w:r>
              <w:t>30.000</w:t>
            </w:r>
          </w:p>
        </w:tc>
        <w:tc>
          <w:tcPr>
            <w:tcW w:w="1437" w:type="dxa"/>
          </w:tcPr>
          <w:p w:rsidR="009D3BFF" w:rsidRDefault="009D3BFF" w:rsidP="00416E26">
            <w:pPr>
              <w:tabs>
                <w:tab w:val="left" w:pos="274"/>
              </w:tabs>
              <w:jc w:val="right"/>
            </w:pPr>
          </w:p>
          <w:p w:rsidR="009D3BFF" w:rsidRDefault="009D3BFF" w:rsidP="00416E26">
            <w:pPr>
              <w:tabs>
                <w:tab w:val="left" w:pos="274"/>
              </w:tabs>
              <w:jc w:val="right"/>
            </w:pPr>
          </w:p>
          <w:p w:rsidR="009D3BFF" w:rsidRDefault="009D3BFF" w:rsidP="00416E26">
            <w:pPr>
              <w:tabs>
                <w:tab w:val="left" w:pos="274"/>
              </w:tabs>
              <w:jc w:val="right"/>
            </w:pPr>
            <w:r>
              <w:t>1.060.000</w:t>
            </w:r>
          </w:p>
        </w:tc>
      </w:tr>
    </w:tbl>
    <w:p w:rsidR="00CD69F6" w:rsidRDefault="00CD69F6"/>
    <w:sectPr w:rsidR="00CD6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F59"/>
    <w:multiLevelType w:val="hybridMultilevel"/>
    <w:tmpl w:val="0E040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A65A2"/>
    <w:multiLevelType w:val="hybridMultilevel"/>
    <w:tmpl w:val="9EAA79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D4BB3"/>
    <w:multiLevelType w:val="hybridMultilevel"/>
    <w:tmpl w:val="11EE1AA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7ADE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52165"/>
    <w:multiLevelType w:val="hybridMultilevel"/>
    <w:tmpl w:val="DB9CA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FF"/>
    <w:rsid w:val="009D3BFF"/>
    <w:rsid w:val="00C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2AFCD-BD47-4266-A32C-389C7FE6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BF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D3B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D3BFF"/>
    <w:pPr>
      <w:spacing w:line="360" w:lineRule="auto"/>
      <w:ind w:left="284"/>
      <w:jc w:val="both"/>
    </w:pPr>
    <w:rPr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3BFF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9D3BF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D3BF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11-F004TU</dc:creator>
  <cp:keywords/>
  <dc:description/>
  <cp:lastModifiedBy>HP 11-F004TU</cp:lastModifiedBy>
  <cp:revision>1</cp:revision>
  <dcterms:created xsi:type="dcterms:W3CDTF">2020-03-29T09:48:00Z</dcterms:created>
  <dcterms:modified xsi:type="dcterms:W3CDTF">2020-03-29T09:49:00Z</dcterms:modified>
</cp:coreProperties>
</file>