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28" w:rsidRPr="008D4328" w:rsidRDefault="008D4328" w:rsidP="008D4328">
      <w:pPr>
        <w:pBdr>
          <w:top w:val="single" w:sz="36" w:space="8" w:color="E0E0E0"/>
        </w:pBdr>
        <w:shd w:val="clear" w:color="auto" w:fill="FFFFFF"/>
        <w:spacing w:before="300" w:after="180" w:line="450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3"/>
          <w:szCs w:val="33"/>
        </w:rPr>
      </w:pPr>
      <w:bookmarkStart w:id="0" w:name="_GoBack"/>
      <w:bookmarkEnd w:id="0"/>
      <w:proofErr w:type="spellStart"/>
      <w:r w:rsidRPr="008D4328">
        <w:rPr>
          <w:rFonts w:ascii="Georgia" w:eastAsia="Times New Roman" w:hAnsi="Georgia" w:cs="Times New Roman"/>
          <w:b/>
          <w:bCs/>
          <w:color w:val="000000"/>
          <w:kern w:val="36"/>
          <w:sz w:val="33"/>
          <w:szCs w:val="33"/>
        </w:rPr>
        <w:t>Teknik</w:t>
      </w:r>
      <w:proofErr w:type="spellEnd"/>
      <w:r w:rsidRPr="008D4328">
        <w:rPr>
          <w:rFonts w:ascii="Georgia" w:eastAsia="Times New Roman" w:hAnsi="Georgia" w:cs="Times New Roman"/>
          <w:b/>
          <w:bCs/>
          <w:color w:val="000000"/>
          <w:kern w:val="36"/>
          <w:sz w:val="33"/>
          <w:szCs w:val="33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b/>
          <w:bCs/>
          <w:color w:val="000000"/>
          <w:kern w:val="36"/>
          <w:sz w:val="33"/>
          <w:szCs w:val="33"/>
        </w:rPr>
        <w:t>Notasi</w:t>
      </w:r>
      <w:proofErr w:type="spellEnd"/>
      <w:r w:rsidRPr="008D4328">
        <w:rPr>
          <w:rFonts w:ascii="Georgia" w:eastAsia="Times New Roman" w:hAnsi="Georgia" w:cs="Times New Roman"/>
          <w:b/>
          <w:bCs/>
          <w:color w:val="000000"/>
          <w:kern w:val="36"/>
          <w:sz w:val="33"/>
          <w:szCs w:val="33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b/>
          <w:bCs/>
          <w:color w:val="000000"/>
          <w:kern w:val="36"/>
          <w:sz w:val="33"/>
          <w:szCs w:val="33"/>
        </w:rPr>
        <w:t>Ilmiah</w:t>
      </w:r>
      <w:proofErr w:type="spellEnd"/>
    </w:p>
    <w:p w:rsidR="008D4328" w:rsidRPr="008D4328" w:rsidRDefault="008D4328" w:rsidP="008D4328">
      <w:pPr>
        <w:shd w:val="clear" w:color="auto" w:fill="FFFFFF"/>
        <w:spacing w:before="180" w:after="180" w:line="330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Dalam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bagian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ini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akan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dicoba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untuk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menguraikan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hal-hal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yang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bersifat</w:t>
      </w:r>
      <w:proofErr w:type="spellEnd"/>
      <w:proofErr w:type="gram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 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pokok</w:t>
      </w:r>
      <w:proofErr w:type="spellEnd"/>
      <w:proofErr w:type="gram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dari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salah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satu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teknik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notasi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ilmiah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yang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mempergunakan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catatan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kaki.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Tidak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semua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aspek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dari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teknik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notasi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ilmiah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tersebut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proofErr w:type="gram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akan</w:t>
      </w:r>
      <w:proofErr w:type="spellEnd"/>
      <w:proofErr w:type="gram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dibahas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disini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melainkan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bagian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yang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penting-penting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saja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.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Diharapkan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dengan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menguasai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aspek-aspek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yang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bersifat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esensial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maka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seseorang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proofErr w:type="gram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akan</w:t>
      </w:r>
      <w:proofErr w:type="spellEnd"/>
      <w:proofErr w:type="gram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mampu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mengkomunikasikan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gagasannya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secara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ilmiah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,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atau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paling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tidak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mampu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memahami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sebuah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karya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ilmiah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.</w:t>
      </w:r>
    </w:p>
    <w:p w:rsidR="008D4328" w:rsidRPr="008D4328" w:rsidRDefault="008D4328" w:rsidP="008D4328">
      <w:pPr>
        <w:shd w:val="clear" w:color="auto" w:fill="FFFFFF"/>
        <w:spacing w:before="180" w:after="180" w:line="330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Tanda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catatan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kaki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diletakkan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diujung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kalimat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yang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kita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kutip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dengan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mempergunakan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angka</w:t>
      </w:r>
      <w:proofErr w:type="spellEnd"/>
      <w:proofErr w:type="gram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 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arab</w:t>
      </w:r>
      <w:proofErr w:type="spellEnd"/>
      <w:proofErr w:type="gram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yang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diketik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naik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setengah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spasi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.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Catatan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kaki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pada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tiap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proofErr w:type="gram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bab</w:t>
      </w:r>
      <w:proofErr w:type="spellEnd"/>
      <w:proofErr w:type="gram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diberi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nomor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urut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mulai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angka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1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sampai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habis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dan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diganti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dengan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nomor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1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kembali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pada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bab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yang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baru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. </w:t>
      </w:r>
      <w:proofErr w:type="spellStart"/>
      <w:proofErr w:type="gram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Satu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kalimat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mungkin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terdiri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dari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beberapa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catatan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kaki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sekiranya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kalimat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itu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terdiri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dari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beberapa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kutipan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.</w:t>
      </w:r>
      <w:proofErr w:type="gram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proofErr w:type="gram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Dalam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keadaan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seperti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ini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maka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tanda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catatan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kaki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diletakkan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diujung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kalimat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yang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dikutip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sebelum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tanda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baca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penutup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.</w:t>
      </w:r>
      <w:proofErr w:type="gram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proofErr w:type="gram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Sedangkan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satu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kalimat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yang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seluruhnya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terdiri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dari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satu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kutipan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tanda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catatan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kaki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diletakkan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sesudah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tanda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baca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penutup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kalimat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.</w:t>
      </w:r>
      <w:proofErr w:type="gram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Misalnya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:</w:t>
      </w:r>
    </w:p>
    <w:p w:rsidR="008D4328" w:rsidRPr="008D4328" w:rsidRDefault="008D4328" w:rsidP="008D4328">
      <w:p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proofErr w:type="spellStart"/>
      <w:proofErr w:type="gram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Larrabe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mendefinisikan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ilmu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sebagai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pengetahuan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yang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dapat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diandalkan</w:t>
      </w:r>
      <w:r w:rsidRPr="008D4328">
        <w:rPr>
          <w:rFonts w:ascii="inherit" w:eastAsia="Times New Roman" w:hAnsi="inherit" w:cs="Times New Roman"/>
          <w:color w:val="333333"/>
          <w:sz w:val="15"/>
          <w:szCs w:val="15"/>
          <w:bdr w:val="none" w:sz="0" w:space="0" w:color="auto" w:frame="1"/>
          <w:vertAlign w:val="superscript"/>
        </w:rPr>
        <w:t>1</w:t>
      </w:r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sedangkan Richter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melihat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   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ilmu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sebagai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sebuah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metode</w:t>
      </w:r>
      <w:r w:rsidRPr="008D4328">
        <w:rPr>
          <w:rFonts w:ascii="inherit" w:eastAsia="Times New Roman" w:hAnsi="inherit" w:cs="Times New Roman"/>
          <w:color w:val="333333"/>
          <w:sz w:val="15"/>
          <w:szCs w:val="15"/>
          <w:bdr w:val="none" w:sz="0" w:space="0" w:color="auto" w:frame="1"/>
          <w:vertAlign w:val="superscript"/>
        </w:rPr>
        <w:t>2</w:t>
      </w:r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dan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Conant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mengidentifikasikan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ilmu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sebagai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serangkaian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konsep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sebagai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hasil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dari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pengamatan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dan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percobaan</w:t>
      </w:r>
      <w:r w:rsidRPr="008D4328">
        <w:rPr>
          <w:rFonts w:ascii="inherit" w:eastAsia="Times New Roman" w:hAnsi="inherit" w:cs="Times New Roman"/>
          <w:color w:val="333333"/>
          <w:sz w:val="15"/>
          <w:szCs w:val="15"/>
          <w:bdr w:val="none" w:sz="0" w:space="0" w:color="auto" w:frame="1"/>
          <w:vertAlign w:val="superscript"/>
        </w:rPr>
        <w:t>3</w:t>
      </w:r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.</w:t>
      </w:r>
      <w:proofErr w:type="gramEnd"/>
    </w:p>
    <w:p w:rsidR="008D4328" w:rsidRPr="008D4328" w:rsidRDefault="008D4328" w:rsidP="008D4328">
      <w:pPr>
        <w:shd w:val="clear" w:color="auto" w:fill="FFFFFF"/>
        <w:spacing w:before="180" w:after="180" w:line="330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proofErr w:type="spellStart"/>
      <w:proofErr w:type="gram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Sekiranya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kalimat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diatas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dijadikan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menjadi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tiga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buah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kalimat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yang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masing-masing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mengandung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sebuah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kutipan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maka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tanda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catatan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kaki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ditulis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sesudah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tanda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baca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penutup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.</w:t>
      </w:r>
      <w:proofErr w:type="gramEnd"/>
    </w:p>
    <w:p w:rsidR="008D4328" w:rsidRPr="008D4328" w:rsidRDefault="008D4328" w:rsidP="008D4328">
      <w:p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Larrabe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mendefinisikan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ilmu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sebagai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pengetahuan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yang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dapat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diandalkan.</w:t>
      </w:r>
      <w:r w:rsidRPr="008D4328">
        <w:rPr>
          <w:rFonts w:ascii="inherit" w:eastAsia="Times New Roman" w:hAnsi="inherit" w:cs="Times New Roman"/>
          <w:color w:val="333333"/>
          <w:sz w:val="15"/>
          <w:szCs w:val="15"/>
          <w:bdr w:val="none" w:sz="0" w:space="0" w:color="auto" w:frame="1"/>
          <w:vertAlign w:val="superscript"/>
        </w:rPr>
        <w:t>1</w:t>
      </w:r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Sedangkan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Richter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melihat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ilmu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        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sebagai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sebuah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metode.</w:t>
      </w:r>
      <w:r w:rsidRPr="008D4328">
        <w:rPr>
          <w:rFonts w:ascii="inherit" w:eastAsia="Times New Roman" w:hAnsi="inherit" w:cs="Times New Roman"/>
          <w:color w:val="333333"/>
          <w:sz w:val="15"/>
          <w:szCs w:val="15"/>
          <w:bdr w:val="none" w:sz="0" w:space="0" w:color="auto" w:frame="1"/>
          <w:vertAlign w:val="superscript"/>
        </w:rPr>
        <w:t>2</w:t>
      </w:r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Pendapat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lain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dikemukakan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Conant yang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mengidentifikasikan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ilmu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sebagai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serangkaian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konsep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hasil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pengamatan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dan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percobaan.</w:t>
      </w:r>
      <w:r w:rsidRPr="008D4328">
        <w:rPr>
          <w:rFonts w:ascii="inherit" w:eastAsia="Times New Roman" w:hAnsi="inherit" w:cs="Times New Roman"/>
          <w:color w:val="333333"/>
          <w:sz w:val="15"/>
          <w:szCs w:val="15"/>
          <w:bdr w:val="none" w:sz="0" w:space="0" w:color="auto" w:frame="1"/>
          <w:vertAlign w:val="superscript"/>
        </w:rPr>
        <w:t>3</w:t>
      </w:r>
    </w:p>
    <w:p w:rsidR="008D4328" w:rsidRPr="008D4328" w:rsidRDefault="008D4328" w:rsidP="008D4328">
      <w:pPr>
        <w:shd w:val="clear" w:color="auto" w:fill="FFFFFF"/>
        <w:spacing w:before="180" w:after="180" w:line="330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Kalimat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yang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kita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kutip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harus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dituliskan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sumbernya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secara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tersurat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dalam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catatan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kaki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sebagai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berikut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:</w:t>
      </w:r>
    </w:p>
    <w:p w:rsidR="008D4328" w:rsidRPr="008D4328" w:rsidRDefault="008D4328" w:rsidP="008D4328">
      <w:p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1) Harold A.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Larrabee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, </w:t>
      </w:r>
      <w:r w:rsidRPr="008D4328">
        <w:rPr>
          <w:rFonts w:ascii="inherit" w:eastAsia="Times New Roman" w:hAnsi="inherit" w:cs="Times New Roman"/>
          <w:color w:val="333333"/>
          <w:sz w:val="21"/>
          <w:szCs w:val="21"/>
          <w:u w:val="single"/>
          <w:bdr w:val="none" w:sz="0" w:space="0" w:color="auto" w:frame="1"/>
        </w:rPr>
        <w:t>Reliable Knowledge</w:t>
      </w:r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 (Boston: Houghton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Miffin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, 1964),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hlm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. 4.</w:t>
      </w:r>
    </w:p>
    <w:p w:rsidR="008D4328" w:rsidRPr="008D4328" w:rsidRDefault="008D4328" w:rsidP="008D4328">
      <w:p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proofErr w:type="gram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2) Maurice N.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Ricther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, Jr. </w:t>
      </w:r>
      <w:r w:rsidRPr="008D4328">
        <w:rPr>
          <w:rFonts w:ascii="inherit" w:eastAsia="Times New Roman" w:hAnsi="inherit" w:cs="Times New Roman"/>
          <w:color w:val="333333"/>
          <w:sz w:val="21"/>
          <w:szCs w:val="21"/>
          <w:u w:val="single"/>
          <w:bdr w:val="none" w:sz="0" w:space="0" w:color="auto" w:frame="1"/>
        </w:rPr>
        <w:t>Science as a Cultural Process</w:t>
      </w:r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 (Cambridge: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Schenkman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, 1972),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hlm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.</w:t>
      </w:r>
      <w:proofErr w:type="gram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15.</w:t>
      </w:r>
    </w:p>
    <w:p w:rsidR="008D4328" w:rsidRPr="008D4328" w:rsidRDefault="008D4328" w:rsidP="008D4328">
      <w:p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3) James</w:t>
      </w:r>
      <w:proofErr w:type="gram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  B</w:t>
      </w:r>
      <w:proofErr w:type="gram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. Conant, </w:t>
      </w:r>
      <w:r w:rsidRPr="008D4328">
        <w:rPr>
          <w:rFonts w:ascii="inherit" w:eastAsia="Times New Roman" w:hAnsi="inherit" w:cs="Times New Roman"/>
          <w:color w:val="333333"/>
          <w:sz w:val="21"/>
          <w:szCs w:val="21"/>
          <w:u w:val="single"/>
          <w:bdr w:val="none" w:sz="0" w:space="0" w:color="auto" w:frame="1"/>
        </w:rPr>
        <w:t>Science and Common Sense</w:t>
      </w:r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 (New Haven: Yale University Press, 1961). </w:t>
      </w:r>
      <w:proofErr w:type="spellStart"/>
      <w:proofErr w:type="gram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Hlm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. 25.</w:t>
      </w:r>
      <w:proofErr w:type="gramEnd"/>
    </w:p>
    <w:p w:rsidR="008D4328" w:rsidRPr="008D4328" w:rsidRDefault="008D4328" w:rsidP="008D4328">
      <w:pPr>
        <w:shd w:val="clear" w:color="auto" w:fill="FFFFFF"/>
        <w:spacing w:before="180" w:after="180" w:line="330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proofErr w:type="spellStart"/>
      <w:proofErr w:type="gram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Catatan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kaki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ditulis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dalam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satu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spasi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dan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dimulai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langsung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dari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pinggir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,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atau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dapat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dimulai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setelah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beberapa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ketukan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tik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dari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pinggir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,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asalkan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dilakukan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secara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konsisten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.</w:t>
      </w:r>
      <w:proofErr w:type="gramEnd"/>
    </w:p>
    <w:p w:rsidR="008D4328" w:rsidRPr="008D4328" w:rsidRDefault="008D4328" w:rsidP="008D4328">
      <w:pPr>
        <w:shd w:val="clear" w:color="auto" w:fill="FFFFFF"/>
        <w:spacing w:before="180" w:after="180" w:line="330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Nama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pengarang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yang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jumlahnya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sampai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tiga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orang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dituliskan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lengkap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sedangkan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jumlah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pengarang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yang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lebih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dari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tiga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orang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hanya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ditulis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proofErr w:type="gram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nama</w:t>
      </w:r>
      <w:proofErr w:type="spellEnd"/>
      <w:proofErr w:type="gram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pengarang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pertama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ditambahkata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  <w:r w:rsidRPr="008D4328">
        <w:rPr>
          <w:rFonts w:ascii="Georgia" w:eastAsia="Times New Roman" w:hAnsi="Georgia" w:cs="Times New Roman"/>
          <w:i/>
          <w:iCs/>
          <w:color w:val="333333"/>
          <w:sz w:val="21"/>
          <w:szCs w:val="21"/>
        </w:rPr>
        <w:t>et al</w:t>
      </w:r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. (</w:t>
      </w:r>
      <w:r w:rsidRPr="008D4328">
        <w:rPr>
          <w:rFonts w:ascii="Georgia" w:eastAsia="Times New Roman" w:hAnsi="Georgia" w:cs="Times New Roman"/>
          <w:i/>
          <w:iCs/>
          <w:color w:val="333333"/>
          <w:sz w:val="21"/>
          <w:szCs w:val="21"/>
        </w:rPr>
        <w:t xml:space="preserve">et </w:t>
      </w:r>
      <w:proofErr w:type="spellStart"/>
      <w:r w:rsidRPr="008D4328">
        <w:rPr>
          <w:rFonts w:ascii="Georgia" w:eastAsia="Times New Roman" w:hAnsi="Georgia" w:cs="Times New Roman"/>
          <w:i/>
          <w:iCs/>
          <w:color w:val="333333"/>
          <w:sz w:val="21"/>
          <w:szCs w:val="21"/>
        </w:rPr>
        <w:t>alii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: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dan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lain-lain).</w:t>
      </w:r>
    </w:p>
    <w:p w:rsidR="008D4328" w:rsidRPr="008D4328" w:rsidRDefault="008D4328" w:rsidP="008D4328">
      <w:p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4) William S.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Shakian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 xml:space="preserve"> and Mabel L. </w:t>
      </w:r>
      <w:proofErr w:type="spellStart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Shakian</w:t>
      </w:r>
      <w:proofErr w:type="spellEnd"/>
      <w:r w:rsidRPr="008D4328">
        <w:rPr>
          <w:rFonts w:ascii="Georgia" w:eastAsia="Times New Roman" w:hAnsi="Georgia" w:cs="Times New Roman"/>
          <w:color w:val="333333"/>
          <w:sz w:val="21"/>
          <w:szCs w:val="21"/>
        </w:rPr>
        <w:t>, </w:t>
      </w:r>
      <w:r w:rsidRPr="008D4328">
        <w:rPr>
          <w:rFonts w:ascii="inherit" w:eastAsia="Times New Roman" w:hAnsi="inherit" w:cs="Times New Roman"/>
          <w:color w:val="333333"/>
          <w:sz w:val="21"/>
          <w:szCs w:val="21"/>
          <w:u w:val="single"/>
          <w:bdr w:val="none" w:sz="0" w:space="0" w:color="auto" w:frame="1"/>
        </w:rPr>
        <w:t>Re</w:t>
      </w:r>
    </w:p>
    <w:p w:rsidR="00F94506" w:rsidRDefault="00F94506"/>
    <w:sectPr w:rsidR="00F94506" w:rsidSect="00A91111">
      <w:pgSz w:w="11907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28"/>
    <w:rsid w:val="006F57E9"/>
    <w:rsid w:val="008D4328"/>
    <w:rsid w:val="00A91111"/>
    <w:rsid w:val="00F9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7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44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2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6599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170">
          <w:marLeft w:val="1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039">
          <w:marLeft w:val="1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6166">
          <w:marLeft w:val="1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84">
          <w:marLeft w:val="1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8351">
          <w:marLeft w:val="1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8203">
          <w:marLeft w:val="1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840">
          <w:marLeft w:val="1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845">
          <w:marLeft w:val="1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0637">
          <w:marLeft w:val="1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30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750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3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0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97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01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262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455">
          <w:marLeft w:val="2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930">
          <w:marLeft w:val="2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5882">
          <w:marLeft w:val="2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7242">
          <w:marLeft w:val="2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9091">
          <w:marLeft w:val="2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1116">
          <w:marLeft w:val="24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1769">
          <w:marLeft w:val="24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3481">
          <w:marLeft w:val="2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717">
          <w:marLeft w:val="2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860">
          <w:marLeft w:val="2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950">
          <w:marLeft w:val="2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200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6282">
          <w:marLeft w:val="2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5903">
          <w:marLeft w:val="2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884">
          <w:marLeft w:val="2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8553">
          <w:marLeft w:val="2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741">
          <w:marLeft w:val="2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09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520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619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88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893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015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4748">
          <w:marLeft w:val="25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773">
          <w:marLeft w:val="2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2943">
          <w:marLeft w:val="2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974">
          <w:marLeft w:val="2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50008">
          <w:marLeft w:val="2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3111">
          <w:marLeft w:val="2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0789">
          <w:marLeft w:val="2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444">
          <w:marLeft w:val="2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164">
          <w:marLeft w:val="2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379">
          <w:marLeft w:val="2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699">
          <w:marLeft w:val="32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450">
          <w:marLeft w:val="32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5264">
          <w:marLeft w:val="32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498">
          <w:marLeft w:val="32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2020-06-28T09:26:00Z</dcterms:created>
  <dcterms:modified xsi:type="dcterms:W3CDTF">2020-06-28T09:32:00Z</dcterms:modified>
</cp:coreProperties>
</file>